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4864" w14:textId="77777777" w:rsidR="00AA5E83" w:rsidRPr="00DD7E5E" w:rsidRDefault="00AA5E83" w:rsidP="00AA5E83">
      <w:pPr>
        <w:jc w:val="center"/>
        <w:rPr>
          <w:rFonts w:cstheme="minorHAnsi"/>
          <w:b/>
          <w:bCs/>
        </w:rPr>
      </w:pPr>
      <w:r w:rsidRPr="00DD7E5E">
        <w:rPr>
          <w:rFonts w:cstheme="minorHAnsi"/>
          <w:b/>
          <w:bCs/>
        </w:rPr>
        <w:t xml:space="preserve">ASCC Natural and Mathematical Sciences Panel </w:t>
      </w:r>
    </w:p>
    <w:p w14:paraId="064DD004" w14:textId="42170389" w:rsidR="00AA5E83" w:rsidRPr="00DD7E5E" w:rsidRDefault="00A30046" w:rsidP="00AA5E83">
      <w:pPr>
        <w:jc w:val="center"/>
        <w:rPr>
          <w:rFonts w:cstheme="minorHAnsi"/>
        </w:rPr>
      </w:pPr>
      <w:r>
        <w:rPr>
          <w:rFonts w:cstheme="minorHAnsi"/>
        </w:rPr>
        <w:t>A</w:t>
      </w:r>
      <w:r w:rsidR="002A7A6C">
        <w:rPr>
          <w:rFonts w:cstheme="minorHAnsi"/>
        </w:rPr>
        <w:t xml:space="preserve">pproved </w:t>
      </w:r>
      <w:r w:rsidR="00AA5E83" w:rsidRPr="00DD7E5E">
        <w:rPr>
          <w:rFonts w:cstheme="minorHAnsi"/>
        </w:rPr>
        <w:t>Minutes</w:t>
      </w:r>
    </w:p>
    <w:p w14:paraId="7231D8F4" w14:textId="3F6DFD9E" w:rsidR="00AA5E83" w:rsidRPr="00DD7E5E" w:rsidRDefault="00AA5E83" w:rsidP="00AA5E83">
      <w:pPr>
        <w:rPr>
          <w:rFonts w:cstheme="minorHAnsi"/>
        </w:rPr>
      </w:pPr>
      <w:r w:rsidRPr="00DD7E5E">
        <w:rPr>
          <w:rFonts w:cstheme="minorHAnsi"/>
        </w:rPr>
        <w:t xml:space="preserve">Thursday, </w:t>
      </w:r>
      <w:r w:rsidR="008831C6" w:rsidRPr="00DD7E5E">
        <w:rPr>
          <w:rFonts w:cstheme="minorHAnsi"/>
        </w:rPr>
        <w:t xml:space="preserve">October </w:t>
      </w:r>
      <w:r w:rsidR="00AB0069">
        <w:rPr>
          <w:rFonts w:cstheme="minorHAnsi"/>
        </w:rPr>
        <w:t>20</w:t>
      </w:r>
      <w:r w:rsidR="00AB0069" w:rsidRPr="00AB0069">
        <w:rPr>
          <w:rFonts w:cstheme="minorHAnsi"/>
          <w:vertAlign w:val="superscript"/>
        </w:rPr>
        <w:t>th</w:t>
      </w:r>
      <w:r w:rsidRPr="00DD7E5E">
        <w:rPr>
          <w:rFonts w:cstheme="minorHAnsi"/>
        </w:rPr>
        <w:t>, 2022</w:t>
      </w:r>
      <w:r w:rsidRPr="00DD7E5E">
        <w:rPr>
          <w:rFonts w:cstheme="minorHAnsi"/>
        </w:rPr>
        <w:tab/>
      </w:r>
      <w:r w:rsidRPr="00DD7E5E">
        <w:rPr>
          <w:rFonts w:cstheme="minorHAnsi"/>
        </w:rPr>
        <w:tab/>
      </w:r>
      <w:r w:rsidRPr="00DD7E5E">
        <w:rPr>
          <w:rFonts w:cstheme="minorHAnsi"/>
        </w:rPr>
        <w:tab/>
      </w:r>
      <w:r w:rsidRPr="00DD7E5E">
        <w:rPr>
          <w:rFonts w:cstheme="minorHAnsi"/>
        </w:rPr>
        <w:tab/>
      </w:r>
      <w:r w:rsidRPr="00DD7E5E">
        <w:rPr>
          <w:rFonts w:cstheme="minorHAnsi"/>
        </w:rPr>
        <w:tab/>
      </w:r>
      <w:r w:rsidRPr="00DD7E5E">
        <w:rPr>
          <w:rFonts w:cstheme="minorHAnsi"/>
        </w:rPr>
        <w:tab/>
      </w:r>
      <w:r w:rsidR="008831C6" w:rsidRPr="00DD7E5E">
        <w:rPr>
          <w:rFonts w:cstheme="minorHAnsi"/>
        </w:rPr>
        <w:t xml:space="preserve">                </w:t>
      </w:r>
      <w:r w:rsidRPr="00DD7E5E">
        <w:rPr>
          <w:rFonts w:cstheme="minorHAnsi"/>
        </w:rPr>
        <w:t>9:00 AM – 10:30 AM</w:t>
      </w:r>
    </w:p>
    <w:p w14:paraId="7D5D0EFC" w14:textId="77777777" w:rsidR="00AA5E83" w:rsidRPr="00DD7E5E" w:rsidRDefault="00AA5E83" w:rsidP="00AA5E83">
      <w:pPr>
        <w:rPr>
          <w:rFonts w:cstheme="minorHAnsi"/>
        </w:rPr>
      </w:pPr>
      <w:r w:rsidRPr="00DD7E5E">
        <w:rPr>
          <w:rFonts w:cstheme="minorHAnsi"/>
        </w:rPr>
        <w:t>CarmenZoom</w:t>
      </w:r>
    </w:p>
    <w:p w14:paraId="7614CD9C" w14:textId="1D969D15" w:rsidR="00AA5E83" w:rsidRPr="00DD7E5E" w:rsidRDefault="00AA5E83" w:rsidP="00AA5E83">
      <w:pPr>
        <w:rPr>
          <w:rFonts w:cstheme="minorHAnsi"/>
        </w:rPr>
      </w:pPr>
      <w:r w:rsidRPr="00DD7E5E">
        <w:rPr>
          <w:rFonts w:cstheme="minorHAnsi"/>
          <w:b/>
          <w:bCs/>
        </w:rPr>
        <w:t>Attendees</w:t>
      </w:r>
      <w:r w:rsidRPr="00DD7E5E">
        <w:rPr>
          <w:rFonts w:cstheme="minorHAnsi"/>
        </w:rPr>
        <w:t xml:space="preserve">:  Barker, Cole, Dinan, Hamilton, Hilty, Kaizar, Ottesen, </w:t>
      </w:r>
      <w:r w:rsidR="00DD7E5E">
        <w:rPr>
          <w:rFonts w:cstheme="minorHAnsi"/>
        </w:rPr>
        <w:t>Steele</w:t>
      </w:r>
    </w:p>
    <w:p w14:paraId="05A95604" w14:textId="5B4C4538" w:rsidR="00306AF8" w:rsidRPr="00DD7E5E" w:rsidRDefault="00AA5E83" w:rsidP="00D72400">
      <w:pPr>
        <w:rPr>
          <w:rFonts w:cstheme="minorHAnsi"/>
          <w:b/>
          <w:bCs/>
        </w:rPr>
      </w:pPr>
      <w:r w:rsidRPr="00DD7E5E">
        <w:rPr>
          <w:rFonts w:cstheme="minorHAnsi"/>
          <w:b/>
          <w:bCs/>
        </w:rPr>
        <w:t>Agenda:</w:t>
      </w:r>
    </w:p>
    <w:p w14:paraId="2DE8DC8F" w14:textId="02F7F37E" w:rsidR="00D72400" w:rsidRDefault="00D72400" w:rsidP="00D72400">
      <w:pPr>
        <w:pStyle w:val="ListParagraph"/>
        <w:numPr>
          <w:ilvl w:val="0"/>
          <w:numId w:val="5"/>
        </w:numPr>
        <w:rPr>
          <w:rFonts w:cstheme="minorHAnsi"/>
        </w:rPr>
      </w:pPr>
      <w:r w:rsidRPr="00DD7E5E">
        <w:rPr>
          <w:rFonts w:cstheme="minorHAnsi"/>
        </w:rPr>
        <w:t>Approval of 9/22 minutes</w:t>
      </w:r>
    </w:p>
    <w:p w14:paraId="7D44CDC9" w14:textId="1291328E" w:rsidR="008A591C" w:rsidRPr="00DD7E5E" w:rsidRDefault="008A591C" w:rsidP="008A591C">
      <w:pPr>
        <w:pStyle w:val="ListParagraph"/>
        <w:numPr>
          <w:ilvl w:val="1"/>
          <w:numId w:val="5"/>
        </w:numPr>
        <w:rPr>
          <w:rFonts w:cstheme="minorHAnsi"/>
        </w:rPr>
      </w:pPr>
      <w:r>
        <w:rPr>
          <w:rFonts w:cstheme="minorHAnsi"/>
        </w:rPr>
        <w:t>Kaizar, Hamilton; unanimously approved</w:t>
      </w:r>
    </w:p>
    <w:p w14:paraId="596218F6" w14:textId="59C27A70" w:rsidR="00D72400" w:rsidRDefault="00D72400" w:rsidP="00D72400">
      <w:pPr>
        <w:pStyle w:val="ListParagraph"/>
        <w:numPr>
          <w:ilvl w:val="0"/>
          <w:numId w:val="5"/>
        </w:numPr>
        <w:rPr>
          <w:rFonts w:cstheme="minorHAnsi"/>
        </w:rPr>
      </w:pPr>
      <w:r w:rsidRPr="00DD7E5E">
        <w:rPr>
          <w:rFonts w:cstheme="minorHAnsi"/>
        </w:rPr>
        <w:t>Physics 5261 (new course cross-listed with ENR)</w:t>
      </w:r>
    </w:p>
    <w:p w14:paraId="30A8BC1D" w14:textId="1EC6EEE7" w:rsidR="003E1393" w:rsidRDefault="008A591C" w:rsidP="008A591C">
      <w:pPr>
        <w:pStyle w:val="ListParagraph"/>
        <w:numPr>
          <w:ilvl w:val="1"/>
          <w:numId w:val="5"/>
        </w:numPr>
        <w:rPr>
          <w:rFonts w:cstheme="minorHAnsi"/>
        </w:rPr>
      </w:pPr>
      <w:r w:rsidRPr="006B2A8F">
        <w:rPr>
          <w:rFonts w:cstheme="minorHAnsi"/>
          <w:i/>
          <w:iCs/>
        </w:rPr>
        <w:t>Recommendation</w:t>
      </w:r>
      <w:r w:rsidR="003E1393">
        <w:rPr>
          <w:rFonts w:cstheme="minorHAnsi"/>
        </w:rPr>
        <w:t xml:space="preserve">: The Panel recommends that the </w:t>
      </w:r>
      <w:r w:rsidR="00525609">
        <w:rPr>
          <w:rFonts w:cstheme="minorHAnsi"/>
        </w:rPr>
        <w:t>units</w:t>
      </w:r>
      <w:r w:rsidR="003E1393">
        <w:rPr>
          <w:rFonts w:cstheme="minorHAnsi"/>
        </w:rPr>
        <w:t xml:space="preserve"> amend the list of recommended texts (syllabus pg. 4). </w:t>
      </w:r>
      <w:r w:rsidR="006B2A8F">
        <w:rPr>
          <w:rFonts w:cstheme="minorHAnsi"/>
        </w:rPr>
        <w:t>While the</w:t>
      </w:r>
      <w:r w:rsidR="003E1393">
        <w:rPr>
          <w:rFonts w:cstheme="minorHAnsi"/>
        </w:rPr>
        <w:t xml:space="preserve"> Panel recognizes that this list may be intended to supplement knowledge for students coming into the course from a wide variety of backgrounds, </w:t>
      </w:r>
      <w:r w:rsidR="006B2A8F">
        <w:rPr>
          <w:rFonts w:cstheme="minorHAnsi"/>
        </w:rPr>
        <w:t xml:space="preserve">it may be difficult for students </w:t>
      </w:r>
      <w:r w:rsidR="00C4160E">
        <w:rPr>
          <w:rFonts w:cstheme="minorHAnsi"/>
        </w:rPr>
        <w:t>t</w:t>
      </w:r>
      <w:r w:rsidR="006B2A8F">
        <w:rPr>
          <w:rFonts w:cstheme="minorHAnsi"/>
        </w:rPr>
        <w:t>o discern which books will be most useful to them.  The Panel</w:t>
      </w:r>
      <w:r w:rsidR="003E1393">
        <w:rPr>
          <w:rFonts w:cstheme="minorHAnsi"/>
        </w:rPr>
        <w:t xml:space="preserve"> offer</w:t>
      </w:r>
      <w:r w:rsidR="006B2A8F">
        <w:rPr>
          <w:rFonts w:cstheme="minorHAnsi"/>
        </w:rPr>
        <w:t>s</w:t>
      </w:r>
      <w:r w:rsidR="003E1393">
        <w:rPr>
          <w:rFonts w:cstheme="minorHAnsi"/>
        </w:rPr>
        <w:t xml:space="preserve"> a friendly suggestion to include information about</w:t>
      </w:r>
      <w:r w:rsidR="006B2A8F">
        <w:rPr>
          <w:rFonts w:cstheme="minorHAnsi"/>
        </w:rPr>
        <w:t xml:space="preserve"> which</w:t>
      </w:r>
      <w:r w:rsidR="003E1393">
        <w:rPr>
          <w:rFonts w:cstheme="minorHAnsi"/>
        </w:rPr>
        <w:t xml:space="preserve"> texts might be most </w:t>
      </w:r>
      <w:r w:rsidR="006B2A8F">
        <w:rPr>
          <w:rFonts w:cstheme="minorHAnsi"/>
        </w:rPr>
        <w:t>relevant for students who do not have a background in soil science, or which text</w:t>
      </w:r>
      <w:r w:rsidR="00604CD3">
        <w:rPr>
          <w:rFonts w:cstheme="minorHAnsi"/>
        </w:rPr>
        <w:t>(s)</w:t>
      </w:r>
      <w:r w:rsidR="006B2A8F">
        <w:rPr>
          <w:rFonts w:cstheme="minorHAnsi"/>
        </w:rPr>
        <w:t xml:space="preserve"> may be most pertinent to different topics in the course calendar, as well as including information about where to access and/or purchase these texts.</w:t>
      </w:r>
    </w:p>
    <w:p w14:paraId="6043DA36" w14:textId="234378DA" w:rsidR="006B2A8F" w:rsidRDefault="006B2A8F" w:rsidP="008A591C">
      <w:pPr>
        <w:pStyle w:val="ListParagraph"/>
        <w:numPr>
          <w:ilvl w:val="1"/>
          <w:numId w:val="5"/>
        </w:numPr>
        <w:rPr>
          <w:rFonts w:cstheme="minorHAnsi"/>
        </w:rPr>
      </w:pPr>
      <w:r>
        <w:rPr>
          <w:rFonts w:cstheme="minorHAnsi"/>
          <w:i/>
          <w:iCs/>
        </w:rPr>
        <w:t>Recommendation</w:t>
      </w:r>
      <w:r w:rsidRPr="006B2A8F">
        <w:rPr>
          <w:rFonts w:cstheme="minorHAnsi"/>
        </w:rPr>
        <w:t>:</w:t>
      </w:r>
      <w:r>
        <w:rPr>
          <w:rFonts w:cstheme="minorHAnsi"/>
        </w:rPr>
        <w:t xml:space="preserve"> The Panel recommends that</w:t>
      </w:r>
      <w:r w:rsidR="00525609">
        <w:rPr>
          <w:rFonts w:cstheme="minorHAnsi"/>
        </w:rPr>
        <w:t xml:space="preserve"> the units</w:t>
      </w:r>
      <w:r>
        <w:rPr>
          <w:rFonts w:cstheme="minorHAnsi"/>
        </w:rPr>
        <w:t xml:space="preserve"> clarify or eliminate the “Pace of activities” section of the syllabus (pg. 3 under “How This Course Works”), as the current language is reminiscent of the</w:t>
      </w:r>
      <w:r w:rsidR="00640EFE">
        <w:rPr>
          <w:rFonts w:cstheme="minorHAnsi"/>
        </w:rPr>
        <w:t xml:space="preserve"> college’s</w:t>
      </w:r>
      <w:r>
        <w:rPr>
          <w:rFonts w:cstheme="minorHAnsi"/>
        </w:rPr>
        <w:t xml:space="preserve"> recommended language for asynchronous online courses</w:t>
      </w:r>
      <w:r w:rsidR="0072271B">
        <w:rPr>
          <w:rFonts w:cstheme="minorHAnsi"/>
        </w:rPr>
        <w:t xml:space="preserve"> and does not seem to align with the in-person format of the course.</w:t>
      </w:r>
    </w:p>
    <w:p w14:paraId="2A0D45DF" w14:textId="52C0FFFC" w:rsidR="006B2A8F" w:rsidRDefault="006B2A8F" w:rsidP="008A591C">
      <w:pPr>
        <w:pStyle w:val="ListParagraph"/>
        <w:numPr>
          <w:ilvl w:val="1"/>
          <w:numId w:val="5"/>
        </w:numPr>
        <w:rPr>
          <w:rFonts w:cstheme="minorHAnsi"/>
        </w:rPr>
      </w:pPr>
      <w:r>
        <w:rPr>
          <w:rFonts w:cstheme="minorHAnsi"/>
          <w:i/>
          <w:iCs/>
        </w:rPr>
        <w:t>Recommendation</w:t>
      </w:r>
      <w:r w:rsidRPr="006B2A8F">
        <w:rPr>
          <w:rFonts w:cstheme="minorHAnsi"/>
        </w:rPr>
        <w:t>:</w:t>
      </w:r>
      <w:r>
        <w:rPr>
          <w:rFonts w:cstheme="minorHAnsi"/>
        </w:rPr>
        <w:t xml:space="preserve"> The Panel recommends that the syllabus state explicitly that there will not be a final exam in the course.</w:t>
      </w:r>
    </w:p>
    <w:p w14:paraId="51293572" w14:textId="030C0F17" w:rsidR="006B2A8F" w:rsidRDefault="006B2A8F" w:rsidP="008A591C">
      <w:pPr>
        <w:pStyle w:val="ListParagraph"/>
        <w:numPr>
          <w:ilvl w:val="1"/>
          <w:numId w:val="5"/>
        </w:numPr>
        <w:rPr>
          <w:rFonts w:cstheme="minorHAnsi"/>
        </w:rPr>
      </w:pPr>
      <w:r>
        <w:rPr>
          <w:rFonts w:cstheme="minorHAnsi"/>
          <w:i/>
          <w:iCs/>
        </w:rPr>
        <w:t>Recommendation</w:t>
      </w:r>
      <w:r w:rsidRPr="006B2A8F">
        <w:rPr>
          <w:rFonts w:cstheme="minorHAnsi"/>
        </w:rPr>
        <w:t>:</w:t>
      </w:r>
      <w:r>
        <w:rPr>
          <w:rFonts w:cstheme="minorHAnsi"/>
        </w:rPr>
        <w:t xml:space="preserve"> The Panel recommends that the syllabus (pg. 1) identify the course number with BOTH Physics and ENR designations (i.e. “ENR/Physics </w:t>
      </w:r>
      <w:r w:rsidR="00640EFE">
        <w:rPr>
          <w:rFonts w:cstheme="minorHAnsi"/>
        </w:rPr>
        <w:t>5261”) and amend the course exclusions (syllabus pg. 2 under “Course Prerequisites”) to read “ENR 5261 is not open to students with credit for Physics 5261; likewise, Physics 5261 is not open to students with credit for EBR 5261” or similar.</w:t>
      </w:r>
    </w:p>
    <w:p w14:paraId="5C8FB95F" w14:textId="57507DC3" w:rsidR="008A591C" w:rsidRDefault="00A3502F" w:rsidP="008A591C">
      <w:pPr>
        <w:pStyle w:val="ListParagraph"/>
        <w:numPr>
          <w:ilvl w:val="1"/>
          <w:numId w:val="5"/>
        </w:numPr>
        <w:rPr>
          <w:rFonts w:cstheme="minorHAnsi"/>
        </w:rPr>
      </w:pPr>
      <w:r>
        <w:rPr>
          <w:rFonts w:cstheme="minorHAnsi"/>
        </w:rPr>
        <w:t>Comment</w:t>
      </w:r>
      <w:r w:rsidR="00FE5BB2">
        <w:rPr>
          <w:rFonts w:cstheme="minorHAnsi"/>
        </w:rPr>
        <w:t xml:space="preserve">: </w:t>
      </w:r>
      <w:r w:rsidR="00640EFE">
        <w:rPr>
          <w:rFonts w:cstheme="minorHAnsi"/>
        </w:rPr>
        <w:t>The Panel</w:t>
      </w:r>
      <w:r w:rsidR="00604CD3">
        <w:rPr>
          <w:rFonts w:cstheme="minorHAnsi"/>
        </w:rPr>
        <w:t xml:space="preserve"> observes</w:t>
      </w:r>
      <w:r w:rsidR="0072271B">
        <w:rPr>
          <w:rFonts w:cstheme="minorHAnsi"/>
        </w:rPr>
        <w:t xml:space="preserve"> that</w:t>
      </w:r>
      <w:r w:rsidR="00FE5BB2">
        <w:rPr>
          <w:rFonts w:cstheme="minorHAnsi"/>
        </w:rPr>
        <w:t xml:space="preserve"> the lack of pre-requisites is unusual </w:t>
      </w:r>
      <w:r w:rsidR="00604CD3">
        <w:rPr>
          <w:rFonts w:cstheme="minorHAnsi"/>
        </w:rPr>
        <w:t xml:space="preserve">for a course </w:t>
      </w:r>
      <w:r w:rsidR="00FE5BB2">
        <w:rPr>
          <w:rFonts w:cstheme="minorHAnsi"/>
        </w:rPr>
        <w:t>at the 5000 level.</w:t>
      </w:r>
      <w:r w:rsidR="00640EFE">
        <w:rPr>
          <w:rFonts w:cstheme="minorHAnsi"/>
        </w:rPr>
        <w:t xml:space="preserve">  </w:t>
      </w:r>
      <w:r w:rsidR="00604CD3">
        <w:rPr>
          <w:rFonts w:cstheme="minorHAnsi"/>
        </w:rPr>
        <w:t xml:space="preserve">While the Panel understands that pre-requisites may not be strictly necessary, if </w:t>
      </w:r>
      <w:r w:rsidR="00640EFE">
        <w:rPr>
          <w:rFonts w:cstheme="minorHAnsi"/>
        </w:rPr>
        <w:t xml:space="preserve">the units </w:t>
      </w:r>
      <w:r w:rsidR="00604CD3">
        <w:rPr>
          <w:rFonts w:cstheme="minorHAnsi"/>
        </w:rPr>
        <w:t>do expect some prior experience with science at the collegiate level,</w:t>
      </w:r>
      <w:r w:rsidR="00640EFE">
        <w:rPr>
          <w:rFonts w:cstheme="minorHAnsi"/>
        </w:rPr>
        <w:t xml:space="preserve"> the Panel offers </w:t>
      </w:r>
      <w:r w:rsidR="00FE5BB2">
        <w:rPr>
          <w:rFonts w:cstheme="minorHAnsi"/>
        </w:rPr>
        <w:t>the</w:t>
      </w:r>
      <w:r w:rsidR="00640EFE">
        <w:rPr>
          <w:rFonts w:cstheme="minorHAnsi"/>
        </w:rPr>
        <w:t xml:space="preserve"> friendly suggestion that </w:t>
      </w:r>
      <w:r w:rsidR="00FE5BB2">
        <w:rPr>
          <w:rFonts w:cstheme="minorHAnsi"/>
        </w:rPr>
        <w:t xml:space="preserve">the units include </w:t>
      </w:r>
      <w:r w:rsidR="00525609">
        <w:rPr>
          <w:rFonts w:cstheme="minorHAnsi"/>
        </w:rPr>
        <w:t xml:space="preserve">a statement </w:t>
      </w:r>
      <w:r w:rsidR="00FE5BB2">
        <w:rPr>
          <w:rFonts w:cstheme="minorHAnsi"/>
        </w:rPr>
        <w:t xml:space="preserve">in the syllabus </w:t>
      </w:r>
      <w:r w:rsidR="00525609">
        <w:rPr>
          <w:rFonts w:cstheme="minorHAnsi"/>
        </w:rPr>
        <w:t xml:space="preserve">which </w:t>
      </w:r>
      <w:r w:rsidR="00BF0EAB">
        <w:rPr>
          <w:rFonts w:cstheme="minorHAnsi"/>
        </w:rPr>
        <w:t>describes</w:t>
      </w:r>
      <w:r w:rsidR="00640EFE">
        <w:rPr>
          <w:rFonts w:cstheme="minorHAnsi"/>
        </w:rPr>
        <w:t xml:space="preserve"> </w:t>
      </w:r>
      <w:r w:rsidR="00BF0EAB">
        <w:rPr>
          <w:rFonts w:cstheme="minorHAnsi"/>
        </w:rPr>
        <w:t xml:space="preserve">the </w:t>
      </w:r>
      <w:r w:rsidR="00640EFE">
        <w:rPr>
          <w:rFonts w:cstheme="minorHAnsi"/>
        </w:rPr>
        <w:t xml:space="preserve">skills and/or knowledge </w:t>
      </w:r>
      <w:r w:rsidR="00FE5BB2">
        <w:rPr>
          <w:rFonts w:cstheme="minorHAnsi"/>
        </w:rPr>
        <w:t>students should have prior to beginning the course.</w:t>
      </w:r>
    </w:p>
    <w:p w14:paraId="03ABAB3A" w14:textId="316E44DA" w:rsidR="00FE5BB2" w:rsidRDefault="00FE5BB2" w:rsidP="008A591C">
      <w:pPr>
        <w:pStyle w:val="ListParagraph"/>
        <w:numPr>
          <w:ilvl w:val="1"/>
          <w:numId w:val="5"/>
        </w:numPr>
        <w:rPr>
          <w:rFonts w:cstheme="minorHAnsi"/>
        </w:rPr>
      </w:pPr>
      <w:r>
        <w:rPr>
          <w:rFonts w:cstheme="minorHAnsi"/>
        </w:rPr>
        <w:t>Comment: The Panel</w:t>
      </w:r>
      <w:r w:rsidR="0072271B">
        <w:rPr>
          <w:rFonts w:cstheme="minorHAnsi"/>
        </w:rPr>
        <w:t xml:space="preserve"> offers a friendly observation that</w:t>
      </w:r>
      <w:r>
        <w:rPr>
          <w:rFonts w:cstheme="minorHAnsi"/>
        </w:rPr>
        <w:t xml:space="preserve"> </w:t>
      </w:r>
      <w:r w:rsidR="0072271B">
        <w:rPr>
          <w:rFonts w:cstheme="minorHAnsi"/>
        </w:rPr>
        <w:t xml:space="preserve">the Course Description (syllabus pg. </w:t>
      </w:r>
      <w:r w:rsidR="00525609">
        <w:rPr>
          <w:rFonts w:cstheme="minorHAnsi"/>
        </w:rPr>
        <w:t>2</w:t>
      </w:r>
      <w:r w:rsidR="0072271B">
        <w:rPr>
          <w:rFonts w:cstheme="minorHAnsi"/>
        </w:rPr>
        <w:t>) begins with a sentence fragment that may be confusing for students.</w:t>
      </w:r>
    </w:p>
    <w:p w14:paraId="334210EE" w14:textId="6987AA88" w:rsidR="00A3502F" w:rsidRDefault="00A3502F" w:rsidP="006D70AC">
      <w:pPr>
        <w:pStyle w:val="ListParagraph"/>
        <w:numPr>
          <w:ilvl w:val="1"/>
          <w:numId w:val="5"/>
        </w:numPr>
        <w:rPr>
          <w:rFonts w:cstheme="minorHAnsi"/>
        </w:rPr>
      </w:pPr>
      <w:r>
        <w:rPr>
          <w:rFonts w:cstheme="minorHAnsi"/>
        </w:rPr>
        <w:t xml:space="preserve">Hamilton, Barker; unanimously approved with </w:t>
      </w:r>
      <w:r w:rsidR="00525609" w:rsidRPr="00C4160E">
        <w:rPr>
          <w:rFonts w:cstheme="minorHAnsi"/>
          <w:i/>
          <w:iCs/>
        </w:rPr>
        <w:t xml:space="preserve">4 </w:t>
      </w:r>
      <w:r w:rsidRPr="00C4160E">
        <w:rPr>
          <w:rFonts w:cstheme="minorHAnsi"/>
          <w:i/>
          <w:iCs/>
        </w:rPr>
        <w:t>recommendation</w:t>
      </w:r>
      <w:r w:rsidR="004B1DE0" w:rsidRPr="00C4160E">
        <w:rPr>
          <w:rFonts w:cstheme="minorHAnsi"/>
          <w:i/>
          <w:iCs/>
        </w:rPr>
        <w:t xml:space="preserve">s </w:t>
      </w:r>
      <w:r w:rsidR="00525609">
        <w:rPr>
          <w:rFonts w:cstheme="minorHAnsi"/>
        </w:rPr>
        <w:t xml:space="preserve">(in italics above,) and </w:t>
      </w:r>
      <w:r w:rsidR="00D14320">
        <w:rPr>
          <w:rFonts w:cstheme="minorHAnsi"/>
        </w:rPr>
        <w:t>two</w:t>
      </w:r>
      <w:r w:rsidR="00525609">
        <w:rPr>
          <w:rFonts w:cstheme="minorHAnsi"/>
        </w:rPr>
        <w:t xml:space="preserve"> </w:t>
      </w:r>
      <w:r w:rsidR="004B1DE0">
        <w:rPr>
          <w:rFonts w:cstheme="minorHAnsi"/>
        </w:rPr>
        <w:t>comments</w:t>
      </w:r>
      <w:r w:rsidR="00525609">
        <w:rPr>
          <w:rFonts w:cstheme="minorHAnsi"/>
        </w:rPr>
        <w:t>.</w:t>
      </w:r>
    </w:p>
    <w:p w14:paraId="470DE8AD" w14:textId="77777777" w:rsidR="00C4160E" w:rsidRPr="00C4160E" w:rsidRDefault="00C4160E" w:rsidP="00C4160E">
      <w:pPr>
        <w:ind w:left="1080"/>
        <w:rPr>
          <w:rFonts w:cstheme="minorHAnsi"/>
        </w:rPr>
      </w:pPr>
    </w:p>
    <w:p w14:paraId="23648C5B" w14:textId="50C7C9CA" w:rsidR="00D72400" w:rsidRDefault="00D72400" w:rsidP="00D72400">
      <w:pPr>
        <w:pStyle w:val="ListParagraph"/>
        <w:numPr>
          <w:ilvl w:val="0"/>
          <w:numId w:val="5"/>
        </w:numPr>
        <w:rPr>
          <w:rFonts w:cstheme="minorHAnsi"/>
        </w:rPr>
      </w:pPr>
      <w:r w:rsidRPr="00DD7E5E">
        <w:rPr>
          <w:rFonts w:cstheme="minorHAnsi"/>
        </w:rPr>
        <w:lastRenderedPageBreak/>
        <w:t>Earth Sciences 6101 (new course)</w:t>
      </w:r>
    </w:p>
    <w:p w14:paraId="08B74BEA" w14:textId="2994E058" w:rsidR="00A3502F" w:rsidRDefault="004B1DE0" w:rsidP="00A3502F">
      <w:pPr>
        <w:pStyle w:val="ListParagraph"/>
        <w:numPr>
          <w:ilvl w:val="1"/>
          <w:numId w:val="5"/>
        </w:numPr>
        <w:rPr>
          <w:rFonts w:cstheme="minorHAnsi"/>
        </w:rPr>
      </w:pPr>
      <w:r w:rsidRPr="00525609">
        <w:rPr>
          <w:rFonts w:cstheme="minorHAnsi"/>
          <w:i/>
          <w:iCs/>
        </w:rPr>
        <w:t>Recommendation</w:t>
      </w:r>
      <w:r>
        <w:rPr>
          <w:rFonts w:cstheme="minorHAnsi"/>
        </w:rPr>
        <w:t xml:space="preserve">: </w:t>
      </w:r>
      <w:r w:rsidR="00525609">
        <w:rPr>
          <w:rFonts w:cstheme="minorHAnsi"/>
        </w:rPr>
        <w:t>The Panel recommends that the unit clarify whether students who turn their CV in early</w:t>
      </w:r>
      <w:r w:rsidR="00BF0EAB">
        <w:rPr>
          <w:rFonts w:cstheme="minorHAnsi"/>
        </w:rPr>
        <w:t xml:space="preserve"> for extra credit (syllabus pg. 5 under “Sept. 24”) will be required to turn in an updated or improved version to earn credit for the standard course assignment on October 29</w:t>
      </w:r>
      <w:r w:rsidR="00BF0EAB" w:rsidRPr="00BF0EAB">
        <w:rPr>
          <w:rFonts w:cstheme="minorHAnsi"/>
          <w:vertAlign w:val="superscript"/>
        </w:rPr>
        <w:t>th</w:t>
      </w:r>
      <w:r w:rsidR="00BF0EAB">
        <w:rPr>
          <w:rFonts w:cstheme="minorHAnsi"/>
        </w:rPr>
        <w:t>.</w:t>
      </w:r>
    </w:p>
    <w:p w14:paraId="3F53B300" w14:textId="2A358676" w:rsidR="004B1DE0" w:rsidRDefault="004B1DE0" w:rsidP="00A3502F">
      <w:pPr>
        <w:pStyle w:val="ListParagraph"/>
        <w:numPr>
          <w:ilvl w:val="1"/>
          <w:numId w:val="5"/>
        </w:numPr>
        <w:rPr>
          <w:rFonts w:cstheme="minorHAnsi"/>
        </w:rPr>
      </w:pPr>
      <w:r w:rsidRPr="00BF0EAB">
        <w:rPr>
          <w:rFonts w:cstheme="minorHAnsi"/>
          <w:i/>
          <w:iCs/>
        </w:rPr>
        <w:t>Recommendation</w:t>
      </w:r>
      <w:r>
        <w:rPr>
          <w:rFonts w:cstheme="minorHAnsi"/>
        </w:rPr>
        <w:t xml:space="preserve">: </w:t>
      </w:r>
      <w:r w:rsidR="00BF0EAB">
        <w:rPr>
          <w:rFonts w:cstheme="minorHAnsi"/>
        </w:rPr>
        <w:t xml:space="preserve"> Given the course’s focus on the graduate student experience in the Earth Sciences, the Panel recommends that the </w:t>
      </w:r>
      <w:r w:rsidR="00DE5E6F">
        <w:rPr>
          <w:rFonts w:cstheme="minorHAnsi"/>
        </w:rPr>
        <w:t>uni</w:t>
      </w:r>
      <w:r>
        <w:rPr>
          <w:rFonts w:cstheme="minorHAnsi"/>
        </w:rPr>
        <w:t xml:space="preserve">t consider limiting </w:t>
      </w:r>
      <w:r w:rsidR="00BF0EAB">
        <w:rPr>
          <w:rFonts w:cstheme="minorHAnsi"/>
        </w:rPr>
        <w:t xml:space="preserve">enrollment </w:t>
      </w:r>
      <w:r>
        <w:rPr>
          <w:rFonts w:cstheme="minorHAnsi"/>
        </w:rPr>
        <w:t xml:space="preserve">to </w:t>
      </w:r>
      <w:r w:rsidR="00BF0EAB">
        <w:rPr>
          <w:rFonts w:cstheme="minorHAnsi"/>
        </w:rPr>
        <w:t>“g</w:t>
      </w:r>
      <w:r>
        <w:rPr>
          <w:rFonts w:cstheme="minorHAnsi"/>
        </w:rPr>
        <w:t>rad</w:t>
      </w:r>
      <w:r w:rsidR="00BF0EAB">
        <w:rPr>
          <w:rFonts w:cstheme="minorHAnsi"/>
        </w:rPr>
        <w:t>uate</w:t>
      </w:r>
      <w:r>
        <w:rPr>
          <w:rFonts w:cstheme="minorHAnsi"/>
        </w:rPr>
        <w:t xml:space="preserve"> students </w:t>
      </w:r>
      <w:r w:rsidR="00BF0EAB">
        <w:rPr>
          <w:rFonts w:cstheme="minorHAnsi"/>
        </w:rPr>
        <w:t>in Earth Sciences</w:t>
      </w:r>
      <w:r w:rsidR="00972C30">
        <w:rPr>
          <w:rFonts w:cstheme="minorHAnsi"/>
        </w:rPr>
        <w:t>,</w:t>
      </w:r>
      <w:r w:rsidR="00BF0EAB">
        <w:rPr>
          <w:rFonts w:cstheme="minorHAnsi"/>
        </w:rPr>
        <w:t xml:space="preserve"> </w:t>
      </w:r>
      <w:r>
        <w:rPr>
          <w:rFonts w:cstheme="minorHAnsi"/>
        </w:rPr>
        <w:t>or permission of instructor</w:t>
      </w:r>
      <w:r w:rsidR="00BF0EAB">
        <w:rPr>
          <w:rFonts w:cstheme="minorHAnsi"/>
        </w:rPr>
        <w:t>”</w:t>
      </w:r>
      <w:r>
        <w:rPr>
          <w:rFonts w:cstheme="minorHAnsi"/>
        </w:rPr>
        <w:t xml:space="preserve"> so that </w:t>
      </w:r>
      <w:r w:rsidR="00BF0EAB">
        <w:rPr>
          <w:rFonts w:cstheme="minorHAnsi"/>
        </w:rPr>
        <w:t>students from other units would at least need to discuss</w:t>
      </w:r>
      <w:r w:rsidR="00DE5E6F">
        <w:rPr>
          <w:rFonts w:cstheme="minorHAnsi"/>
        </w:rPr>
        <w:t xml:space="preserve"> with the instructor</w:t>
      </w:r>
      <w:r w:rsidR="00BF0EAB">
        <w:rPr>
          <w:rFonts w:cstheme="minorHAnsi"/>
        </w:rPr>
        <w:t xml:space="preserve"> whether enrollment would be appropriate </w:t>
      </w:r>
      <w:r w:rsidR="00C4160E">
        <w:rPr>
          <w:rFonts w:cstheme="minorHAnsi"/>
        </w:rPr>
        <w:t xml:space="preserve">given </w:t>
      </w:r>
      <w:r w:rsidR="00BF0EAB">
        <w:rPr>
          <w:rFonts w:cstheme="minorHAnsi"/>
        </w:rPr>
        <w:t>their field of study.</w:t>
      </w:r>
    </w:p>
    <w:p w14:paraId="6BFE2380" w14:textId="3B45C8E1" w:rsidR="00E02928" w:rsidRDefault="004B1DE0" w:rsidP="00E02928">
      <w:pPr>
        <w:pStyle w:val="ListParagraph"/>
        <w:numPr>
          <w:ilvl w:val="1"/>
          <w:numId w:val="5"/>
        </w:numPr>
        <w:rPr>
          <w:rFonts w:cstheme="minorHAnsi"/>
        </w:rPr>
      </w:pPr>
      <w:r w:rsidRPr="00DE5E6F">
        <w:rPr>
          <w:rFonts w:cstheme="minorHAnsi"/>
          <w:i/>
          <w:iCs/>
        </w:rPr>
        <w:t>Recommendation</w:t>
      </w:r>
      <w:r>
        <w:rPr>
          <w:rFonts w:cstheme="minorHAnsi"/>
        </w:rPr>
        <w:t>:</w:t>
      </w:r>
      <w:r w:rsidR="00DE5E6F">
        <w:rPr>
          <w:rFonts w:cstheme="minorHAnsi"/>
        </w:rPr>
        <w:t xml:space="preserve"> The Panel </w:t>
      </w:r>
      <w:r w:rsidR="00654133">
        <w:rPr>
          <w:rFonts w:cstheme="minorHAnsi"/>
        </w:rPr>
        <w:t xml:space="preserve">recommends that the unit add a statement to the syllabus asking that students communicate with the instructor about any concerns or needed accommodations for instruction in an outdoor setting.  </w:t>
      </w:r>
      <w:r w:rsidR="002A7A6C">
        <w:t>Additionally, they recommend that the unit carefully consider whether meeting in an outdoor location for the first class of the semester is appropriate, as it may be difficult for new graduate students to locate the class without a building and room number.</w:t>
      </w:r>
    </w:p>
    <w:p w14:paraId="6A362413" w14:textId="77777777" w:rsidR="00E02928" w:rsidRDefault="00E02928" w:rsidP="00E02928">
      <w:pPr>
        <w:pStyle w:val="ListParagraph"/>
        <w:numPr>
          <w:ilvl w:val="1"/>
          <w:numId w:val="5"/>
        </w:numPr>
        <w:rPr>
          <w:rFonts w:cstheme="minorHAnsi"/>
        </w:rPr>
      </w:pPr>
      <w:r>
        <w:rPr>
          <w:rFonts w:cstheme="minorHAnsi"/>
          <w:i/>
          <w:iCs/>
        </w:rPr>
        <w:t>Recommendation</w:t>
      </w:r>
      <w:r w:rsidRPr="00E02928">
        <w:rPr>
          <w:rFonts w:cstheme="minorHAnsi"/>
        </w:rPr>
        <w:t>:</w:t>
      </w:r>
      <w:r w:rsidR="004A757B" w:rsidRPr="00E02928">
        <w:rPr>
          <w:rFonts w:cstheme="minorHAnsi"/>
        </w:rPr>
        <w:t xml:space="preserve"> The Panel recommends that the unit remove the reference to “the Ohio State grading scale” (syllabus pg.2) as Ohio State does not have an official grading scale</w:t>
      </w:r>
      <w:r>
        <w:rPr>
          <w:rFonts w:cstheme="minorHAnsi"/>
        </w:rPr>
        <w:t xml:space="preserve">; </w:t>
      </w:r>
      <w:r w:rsidR="004A757B" w:rsidRPr="00E02928">
        <w:rPr>
          <w:rFonts w:cstheme="minorHAnsi"/>
        </w:rPr>
        <w:t>instructors are welcome and encouraged to use any scale that works best for their course.</w:t>
      </w:r>
    </w:p>
    <w:p w14:paraId="3155FE36" w14:textId="7F9FEB33" w:rsidR="00E02928" w:rsidRPr="00E02928" w:rsidRDefault="004A757B" w:rsidP="00E02928">
      <w:pPr>
        <w:pStyle w:val="ListParagraph"/>
        <w:numPr>
          <w:ilvl w:val="1"/>
          <w:numId w:val="5"/>
        </w:numPr>
        <w:rPr>
          <w:rFonts w:cstheme="minorHAnsi"/>
        </w:rPr>
      </w:pPr>
      <w:r w:rsidRPr="00E02928">
        <w:rPr>
          <w:rFonts w:ascii="Calibri" w:eastAsia="Times New Roman" w:hAnsi="Calibri" w:cs="Calibri"/>
          <w:i/>
          <w:iCs/>
        </w:rPr>
        <w:t>Recommendation</w:t>
      </w:r>
      <w:r w:rsidRPr="00E02928">
        <w:rPr>
          <w:rFonts w:ascii="Calibri" w:eastAsia="Times New Roman" w:hAnsi="Calibri" w:cs="Calibri"/>
        </w:rPr>
        <w:t xml:space="preserve">: The Panel recommends that the department replace the </w:t>
      </w:r>
      <w:r w:rsidR="00C4160E">
        <w:rPr>
          <w:rFonts w:ascii="Calibri" w:eastAsia="Times New Roman" w:hAnsi="Calibri" w:cs="Calibri"/>
        </w:rPr>
        <w:t>Disability</w:t>
      </w:r>
      <w:r w:rsidRPr="00E02928">
        <w:rPr>
          <w:rFonts w:ascii="Calibri" w:eastAsia="Times New Roman" w:hAnsi="Calibri" w:cs="Calibri"/>
        </w:rPr>
        <w:t xml:space="preserve"> Services statement on pg. 3 of the syllabus with the most up-to-date version, which can be found here:</w:t>
      </w:r>
      <w:r w:rsidRPr="004B1DE0">
        <w:t xml:space="preserve"> </w:t>
      </w:r>
      <w:hyperlink r:id="rId5" w:history="1">
        <w:r w:rsidRPr="00E02928">
          <w:rPr>
            <w:rStyle w:val="Hyperlink"/>
            <w:rFonts w:ascii="Calibri" w:eastAsia="Times New Roman" w:hAnsi="Calibri" w:cs="Calibri"/>
            <w:color w:val="auto"/>
          </w:rPr>
          <w:t>https://asccas.osu.edu/curriculum/syllabus-elements</w:t>
        </w:r>
      </w:hyperlink>
      <w:r w:rsidRPr="00E02928">
        <w:rPr>
          <w:rFonts w:ascii="Calibri" w:eastAsia="Times New Roman" w:hAnsi="Calibri" w:cs="Calibri"/>
        </w:rPr>
        <w:t xml:space="preserve">. </w:t>
      </w:r>
    </w:p>
    <w:p w14:paraId="31B50774" w14:textId="77777777" w:rsidR="00E02928" w:rsidRPr="00E02928" w:rsidRDefault="004A757B" w:rsidP="00E02928">
      <w:pPr>
        <w:pStyle w:val="ListParagraph"/>
        <w:numPr>
          <w:ilvl w:val="1"/>
          <w:numId w:val="5"/>
        </w:numPr>
        <w:rPr>
          <w:rFonts w:cstheme="minorHAnsi"/>
        </w:rPr>
      </w:pPr>
      <w:r w:rsidRPr="00E02928">
        <w:rPr>
          <w:rFonts w:ascii="Calibri" w:eastAsia="Times New Roman" w:hAnsi="Calibri" w:cs="Calibri"/>
          <w:i/>
          <w:iCs/>
        </w:rPr>
        <w:t>Recommendation</w:t>
      </w:r>
      <w:r w:rsidRPr="00E02928">
        <w:rPr>
          <w:rFonts w:ascii="Calibri" w:eastAsia="Times New Roman" w:hAnsi="Calibri" w:cs="Calibri"/>
        </w:rPr>
        <w:t xml:space="preserve">: The Panel recommends that the department replace the Mental Health statement on pg. 3 of the syllabus with the most up-to-date version, which can be found here: </w:t>
      </w:r>
      <w:hyperlink r:id="rId6" w:history="1">
        <w:r w:rsidRPr="00E02928">
          <w:rPr>
            <w:rStyle w:val="Hyperlink"/>
            <w:rFonts w:ascii="Calibri" w:eastAsia="Times New Roman" w:hAnsi="Calibri" w:cs="Calibri"/>
            <w:color w:val="auto"/>
          </w:rPr>
          <w:t>https://asccas.osu.edu/curriculum/syllabus-elements</w:t>
        </w:r>
      </w:hyperlink>
      <w:r w:rsidRPr="00E02928">
        <w:rPr>
          <w:rFonts w:ascii="Calibri" w:eastAsia="Times New Roman" w:hAnsi="Calibri" w:cs="Calibri"/>
        </w:rPr>
        <w:t xml:space="preserve">.  </w:t>
      </w:r>
    </w:p>
    <w:p w14:paraId="685DDBFB" w14:textId="08EBC363" w:rsidR="008C65F3" w:rsidRPr="00E02928" w:rsidRDefault="008C65F3" w:rsidP="00E02928">
      <w:pPr>
        <w:pStyle w:val="ListParagraph"/>
        <w:numPr>
          <w:ilvl w:val="1"/>
          <w:numId w:val="5"/>
        </w:numPr>
        <w:rPr>
          <w:rFonts w:cstheme="minorHAnsi"/>
        </w:rPr>
      </w:pPr>
      <w:r w:rsidRPr="00E02928">
        <w:rPr>
          <w:rFonts w:ascii="Calibri" w:eastAsia="Times New Roman" w:hAnsi="Calibri" w:cs="Calibri"/>
        </w:rPr>
        <w:t xml:space="preserve">Barker, Hamilton, unanimously approved with </w:t>
      </w:r>
      <w:r w:rsidR="00E02928" w:rsidRPr="00E02928">
        <w:rPr>
          <w:rFonts w:ascii="Calibri" w:eastAsia="Times New Roman" w:hAnsi="Calibri" w:cs="Calibri"/>
          <w:i/>
          <w:iCs/>
        </w:rPr>
        <w:t xml:space="preserve">6 recommendations </w:t>
      </w:r>
      <w:r w:rsidR="00E02928" w:rsidRPr="00E02928">
        <w:rPr>
          <w:rFonts w:ascii="Calibri" w:eastAsia="Times New Roman" w:hAnsi="Calibri" w:cs="Calibri"/>
        </w:rPr>
        <w:t>(in italics above).</w:t>
      </w:r>
    </w:p>
    <w:p w14:paraId="57B36310" w14:textId="77777777" w:rsidR="00E02928" w:rsidRPr="00E02928" w:rsidRDefault="00E02928" w:rsidP="00E02928">
      <w:pPr>
        <w:pStyle w:val="ListParagraph"/>
        <w:ind w:left="1440"/>
        <w:rPr>
          <w:rFonts w:cstheme="minorHAnsi"/>
        </w:rPr>
      </w:pPr>
    </w:p>
    <w:p w14:paraId="6369439E" w14:textId="603C7151" w:rsidR="00D72400" w:rsidRDefault="00D72400" w:rsidP="00D72400">
      <w:pPr>
        <w:pStyle w:val="ListParagraph"/>
        <w:numPr>
          <w:ilvl w:val="0"/>
          <w:numId w:val="5"/>
        </w:numPr>
        <w:rPr>
          <w:rFonts w:cstheme="minorHAnsi"/>
        </w:rPr>
      </w:pPr>
      <w:r w:rsidRPr="00DD7E5E">
        <w:rPr>
          <w:rFonts w:cstheme="minorHAnsi"/>
        </w:rPr>
        <w:t>Earth Sciences 8871 (new course)</w:t>
      </w:r>
    </w:p>
    <w:p w14:paraId="597D8A99" w14:textId="77777777" w:rsidR="00997843" w:rsidRDefault="00972C30" w:rsidP="00997843">
      <w:pPr>
        <w:pStyle w:val="ListParagraph"/>
        <w:numPr>
          <w:ilvl w:val="1"/>
          <w:numId w:val="5"/>
        </w:numPr>
        <w:rPr>
          <w:rFonts w:cstheme="minorHAnsi"/>
        </w:rPr>
      </w:pPr>
      <w:r>
        <w:rPr>
          <w:rFonts w:cstheme="minorHAnsi"/>
          <w:i/>
          <w:iCs/>
        </w:rPr>
        <w:t>Recommendation</w:t>
      </w:r>
      <w:r>
        <w:rPr>
          <w:rFonts w:cstheme="minorHAnsi"/>
        </w:rPr>
        <w:t xml:space="preserve">: The Panel recommends </w:t>
      </w:r>
      <w:r w:rsidR="00172A10" w:rsidRPr="00172A10">
        <w:rPr>
          <w:rFonts w:cstheme="minorHAnsi"/>
        </w:rPr>
        <w:t xml:space="preserve">that the “Grading” section of the syllabus (pg. 2) </w:t>
      </w:r>
      <w:r w:rsidR="00172A10">
        <w:rPr>
          <w:rFonts w:cstheme="minorHAnsi"/>
        </w:rPr>
        <w:t xml:space="preserve">be clarified.  They note that the percentage breakdown </w:t>
      </w:r>
      <w:r w:rsidR="00172A10" w:rsidRPr="00172A10">
        <w:rPr>
          <w:rFonts w:cstheme="minorHAnsi"/>
        </w:rPr>
        <w:t>could be difficult to understand in its current form</w:t>
      </w:r>
      <w:r w:rsidR="00172A10">
        <w:rPr>
          <w:rFonts w:cstheme="minorHAnsi"/>
        </w:rPr>
        <w:t xml:space="preserve"> and </w:t>
      </w:r>
      <w:r w:rsidR="00172A10" w:rsidRPr="00172A10">
        <w:rPr>
          <w:rFonts w:cstheme="minorHAnsi"/>
        </w:rPr>
        <w:t xml:space="preserve">they recommend that the </w:t>
      </w:r>
      <w:r w:rsidR="00172A10">
        <w:rPr>
          <w:rFonts w:cstheme="minorHAnsi"/>
        </w:rPr>
        <w:t>uni</w:t>
      </w:r>
      <w:r w:rsidR="00172A10" w:rsidRPr="00172A10">
        <w:rPr>
          <w:rFonts w:cstheme="minorHAnsi"/>
        </w:rPr>
        <w:t xml:space="preserve">t utilize a table or separate listing for </w:t>
      </w:r>
      <w:r w:rsidR="00172A10">
        <w:rPr>
          <w:rFonts w:cstheme="minorHAnsi"/>
        </w:rPr>
        <w:t>each version of the course</w:t>
      </w:r>
      <w:r w:rsidR="00172A10" w:rsidRPr="00172A10">
        <w:rPr>
          <w:rFonts w:cstheme="minorHAnsi"/>
        </w:rPr>
        <w:t>.</w:t>
      </w:r>
      <w:r w:rsidR="00172A10">
        <w:rPr>
          <w:rFonts w:cstheme="minorHAnsi"/>
        </w:rPr>
        <w:t xml:space="preserve">  </w:t>
      </w:r>
      <w:r w:rsidR="00A139E8">
        <w:rPr>
          <w:rFonts w:cstheme="minorHAnsi"/>
        </w:rPr>
        <w:t>Further, the Panel notes that a separate listing could help to clarify how students who enroll in the 3</w:t>
      </w:r>
      <w:r w:rsidR="00A139E8" w:rsidRPr="00A139E8">
        <w:rPr>
          <w:rFonts w:cstheme="minorHAnsi"/>
          <w:vertAlign w:val="superscript"/>
        </w:rPr>
        <w:t>rd</w:t>
      </w:r>
      <w:r w:rsidR="00A139E8">
        <w:rPr>
          <w:rFonts w:cstheme="minorHAnsi"/>
        </w:rPr>
        <w:t xml:space="preserve"> credit hour of the course will be graded on participation, assignments, and the final project</w:t>
      </w:r>
      <w:r w:rsidR="00997843">
        <w:rPr>
          <w:rFonts w:cstheme="minorHAnsi"/>
        </w:rPr>
        <w:t>.</w:t>
      </w:r>
    </w:p>
    <w:p w14:paraId="26942C6E" w14:textId="77777777" w:rsidR="0039286D" w:rsidRDefault="00997843" w:rsidP="0039286D">
      <w:pPr>
        <w:pStyle w:val="ListParagraph"/>
        <w:numPr>
          <w:ilvl w:val="1"/>
          <w:numId w:val="5"/>
        </w:numPr>
        <w:rPr>
          <w:rFonts w:cstheme="minorHAnsi"/>
        </w:rPr>
      </w:pPr>
      <w:r>
        <w:rPr>
          <w:rFonts w:cstheme="minorHAnsi"/>
          <w:i/>
          <w:iCs/>
        </w:rPr>
        <w:t>Recommendation</w:t>
      </w:r>
      <w:r w:rsidRPr="00997843">
        <w:rPr>
          <w:rFonts w:cstheme="minorHAnsi"/>
        </w:rPr>
        <w:t>:</w:t>
      </w:r>
      <w:r>
        <w:rPr>
          <w:rFonts w:cstheme="minorHAnsi"/>
        </w:rPr>
        <w:t xml:space="preserve"> The Panel offers a friendly observation that the “Course objectives” (syllabus pg. 1-2) include both </w:t>
      </w:r>
      <w:r w:rsidR="0039286D">
        <w:rPr>
          <w:rFonts w:cstheme="minorHAnsi"/>
        </w:rPr>
        <w:t xml:space="preserve">course </w:t>
      </w:r>
      <w:r>
        <w:rPr>
          <w:rFonts w:cstheme="minorHAnsi"/>
        </w:rPr>
        <w:t xml:space="preserve">objectives and learning </w:t>
      </w:r>
      <w:r w:rsidR="0039286D">
        <w:rPr>
          <w:rFonts w:cstheme="minorHAnsi"/>
        </w:rPr>
        <w:t>outcomes, and they recommend re-labeling them accordingly.</w:t>
      </w:r>
    </w:p>
    <w:p w14:paraId="229597E4" w14:textId="1D7BFE55" w:rsidR="0039286D" w:rsidRPr="0039286D" w:rsidRDefault="003A25BD" w:rsidP="0039286D">
      <w:pPr>
        <w:pStyle w:val="ListParagraph"/>
        <w:numPr>
          <w:ilvl w:val="1"/>
          <w:numId w:val="5"/>
        </w:numPr>
        <w:rPr>
          <w:rFonts w:cstheme="minorHAnsi"/>
        </w:rPr>
      </w:pPr>
      <w:r w:rsidRPr="0039286D">
        <w:rPr>
          <w:rFonts w:ascii="Calibri" w:eastAsia="Times New Roman" w:hAnsi="Calibri" w:cs="Calibri"/>
          <w:i/>
          <w:iCs/>
        </w:rPr>
        <w:t>Recommendation</w:t>
      </w:r>
      <w:r w:rsidRPr="0039286D">
        <w:rPr>
          <w:rFonts w:ascii="Calibri" w:eastAsia="Times New Roman" w:hAnsi="Calibri" w:cs="Calibri"/>
        </w:rPr>
        <w:t xml:space="preserve">: The Panel recommends that the department replace the </w:t>
      </w:r>
      <w:r w:rsidR="00C4160E">
        <w:rPr>
          <w:rFonts w:ascii="Calibri" w:eastAsia="Times New Roman" w:hAnsi="Calibri" w:cs="Calibri"/>
        </w:rPr>
        <w:t>Disability</w:t>
      </w:r>
      <w:r w:rsidRPr="0039286D">
        <w:rPr>
          <w:rFonts w:ascii="Calibri" w:eastAsia="Times New Roman" w:hAnsi="Calibri" w:cs="Calibri"/>
        </w:rPr>
        <w:t xml:space="preserve"> Services statement on pg. 4 of the syllabus with the most up-to-date version, which can be found here:</w:t>
      </w:r>
      <w:r w:rsidRPr="008C65F3">
        <w:t xml:space="preserve"> </w:t>
      </w:r>
      <w:hyperlink r:id="rId7" w:history="1">
        <w:r w:rsidRPr="0039286D">
          <w:rPr>
            <w:rStyle w:val="Hyperlink"/>
            <w:rFonts w:ascii="Calibri" w:eastAsia="Times New Roman" w:hAnsi="Calibri" w:cs="Calibri"/>
            <w:color w:val="auto"/>
          </w:rPr>
          <w:t>https://asccas.osu.edu/curriculum/syllabus-elements</w:t>
        </w:r>
      </w:hyperlink>
      <w:r w:rsidRPr="0039286D">
        <w:rPr>
          <w:rFonts w:ascii="Calibri" w:eastAsia="Times New Roman" w:hAnsi="Calibri" w:cs="Calibri"/>
        </w:rPr>
        <w:t xml:space="preserve">. </w:t>
      </w:r>
    </w:p>
    <w:p w14:paraId="21472EA7" w14:textId="77777777" w:rsidR="0039286D" w:rsidRPr="0039286D" w:rsidRDefault="003A25BD" w:rsidP="0039286D">
      <w:pPr>
        <w:pStyle w:val="ListParagraph"/>
        <w:numPr>
          <w:ilvl w:val="1"/>
          <w:numId w:val="5"/>
        </w:numPr>
        <w:rPr>
          <w:rFonts w:cstheme="minorHAnsi"/>
        </w:rPr>
      </w:pPr>
      <w:r w:rsidRPr="0039286D">
        <w:rPr>
          <w:rFonts w:ascii="Calibri" w:eastAsia="Times New Roman" w:hAnsi="Calibri" w:cs="Calibri"/>
          <w:i/>
          <w:iCs/>
        </w:rPr>
        <w:t>Recommendation</w:t>
      </w:r>
      <w:r w:rsidRPr="0039286D">
        <w:rPr>
          <w:rFonts w:ascii="Calibri" w:eastAsia="Times New Roman" w:hAnsi="Calibri" w:cs="Calibri"/>
        </w:rPr>
        <w:t xml:space="preserve">: The Panel recommends that the department replace the Mental Health statement on pg. 4 of the syllabus with the most up-to-date version, which can be found here: </w:t>
      </w:r>
      <w:hyperlink r:id="rId8" w:history="1">
        <w:r w:rsidRPr="0039286D">
          <w:rPr>
            <w:rStyle w:val="Hyperlink"/>
            <w:rFonts w:ascii="Calibri" w:eastAsia="Times New Roman" w:hAnsi="Calibri" w:cs="Calibri"/>
            <w:color w:val="auto"/>
          </w:rPr>
          <w:t>https://asccas.osu.edu/curriculum/syllabus-elements</w:t>
        </w:r>
      </w:hyperlink>
      <w:r w:rsidRPr="0039286D">
        <w:rPr>
          <w:rFonts w:ascii="Calibri" w:eastAsia="Times New Roman" w:hAnsi="Calibri" w:cs="Calibri"/>
        </w:rPr>
        <w:t xml:space="preserve">.  </w:t>
      </w:r>
    </w:p>
    <w:p w14:paraId="43ED7223" w14:textId="2803DB50" w:rsidR="00D14320" w:rsidRPr="00D14320" w:rsidRDefault="008C65F3" w:rsidP="00D14320">
      <w:pPr>
        <w:pStyle w:val="ListParagraph"/>
        <w:numPr>
          <w:ilvl w:val="1"/>
          <w:numId w:val="5"/>
        </w:numPr>
        <w:rPr>
          <w:rFonts w:cstheme="minorHAnsi"/>
        </w:rPr>
      </w:pPr>
      <w:r w:rsidRPr="0039286D">
        <w:rPr>
          <w:rFonts w:ascii="Calibri" w:eastAsia="Times New Roman" w:hAnsi="Calibri" w:cs="Calibri"/>
        </w:rPr>
        <w:lastRenderedPageBreak/>
        <w:t xml:space="preserve">Hamilton, Cole; unanimously approved with </w:t>
      </w:r>
      <w:r w:rsidR="00C4160E">
        <w:rPr>
          <w:rFonts w:ascii="Calibri" w:eastAsia="Times New Roman" w:hAnsi="Calibri" w:cs="Calibri"/>
          <w:i/>
          <w:iCs/>
        </w:rPr>
        <w:t xml:space="preserve">four </w:t>
      </w:r>
      <w:r w:rsidR="00C4160E" w:rsidRPr="00C4160E">
        <w:rPr>
          <w:rFonts w:ascii="Calibri" w:eastAsia="Times New Roman" w:hAnsi="Calibri" w:cs="Calibri"/>
        </w:rPr>
        <w:t>recommendations</w:t>
      </w:r>
      <w:r w:rsidR="00C4160E">
        <w:rPr>
          <w:rFonts w:ascii="Calibri" w:eastAsia="Times New Roman" w:hAnsi="Calibri" w:cs="Calibri"/>
        </w:rPr>
        <w:t xml:space="preserve"> (in italics above). </w:t>
      </w:r>
    </w:p>
    <w:p w14:paraId="37015305" w14:textId="77777777" w:rsidR="00D14320" w:rsidRPr="00D14320" w:rsidRDefault="00D14320" w:rsidP="00D14320">
      <w:pPr>
        <w:pStyle w:val="ListParagraph"/>
        <w:ind w:left="1440"/>
        <w:rPr>
          <w:rFonts w:cstheme="minorHAnsi"/>
        </w:rPr>
      </w:pPr>
    </w:p>
    <w:p w14:paraId="5853E5F4" w14:textId="313ABD5F" w:rsidR="00D72400" w:rsidRDefault="00D72400" w:rsidP="00D72400">
      <w:pPr>
        <w:pStyle w:val="ListParagraph"/>
        <w:numPr>
          <w:ilvl w:val="0"/>
          <w:numId w:val="5"/>
        </w:numPr>
        <w:rPr>
          <w:rFonts w:cstheme="minorHAnsi"/>
        </w:rPr>
      </w:pPr>
      <w:r w:rsidRPr="00DD7E5E">
        <w:rPr>
          <w:rFonts w:cstheme="minorHAnsi"/>
        </w:rPr>
        <w:t>Mathematics 5588 (new course) (return)</w:t>
      </w:r>
    </w:p>
    <w:p w14:paraId="3DF4064F" w14:textId="0E132517" w:rsidR="00142C53" w:rsidRDefault="00142C53" w:rsidP="008C65F3">
      <w:pPr>
        <w:pStyle w:val="ListParagraph"/>
        <w:numPr>
          <w:ilvl w:val="1"/>
          <w:numId w:val="5"/>
        </w:numPr>
        <w:rPr>
          <w:rFonts w:cstheme="minorHAnsi"/>
        </w:rPr>
      </w:pPr>
      <w:r>
        <w:rPr>
          <w:rFonts w:cstheme="minorHAnsi"/>
        </w:rPr>
        <w:t>The Panel notes and appreciates that the department has improved and expanded the syllabus since it was last brought to the Panel, and they thank the department for their work on the course.</w:t>
      </w:r>
    </w:p>
    <w:p w14:paraId="357FAAE5" w14:textId="06D65654" w:rsidR="008C65F3" w:rsidRDefault="00142C53" w:rsidP="008C65F3">
      <w:pPr>
        <w:pStyle w:val="ListParagraph"/>
        <w:numPr>
          <w:ilvl w:val="1"/>
          <w:numId w:val="5"/>
        </w:numPr>
        <w:rPr>
          <w:rFonts w:cstheme="minorHAnsi"/>
        </w:rPr>
      </w:pPr>
      <w:r>
        <w:rPr>
          <w:rFonts w:cstheme="minorHAnsi"/>
        </w:rPr>
        <w:t xml:space="preserve">The Panel asks that the department </w:t>
      </w:r>
      <w:r w:rsidR="00C4160E">
        <w:rPr>
          <w:rFonts w:cstheme="minorHAnsi"/>
        </w:rPr>
        <w:t xml:space="preserve">consider </w:t>
      </w:r>
      <w:r>
        <w:rPr>
          <w:rFonts w:cstheme="minorHAnsi"/>
        </w:rPr>
        <w:t>provid</w:t>
      </w:r>
      <w:r w:rsidR="00C4160E">
        <w:rPr>
          <w:rFonts w:cstheme="minorHAnsi"/>
        </w:rPr>
        <w:t>ing</w:t>
      </w:r>
      <w:r>
        <w:rPr>
          <w:rFonts w:cstheme="minorHAnsi"/>
        </w:rPr>
        <w:t xml:space="preserve"> the students with a textbook or other resource</w:t>
      </w:r>
      <w:r w:rsidR="00C4160E">
        <w:rPr>
          <w:rFonts w:cstheme="minorHAnsi"/>
        </w:rPr>
        <w:t>(s)</w:t>
      </w:r>
      <w:r>
        <w:rPr>
          <w:rFonts w:cstheme="minorHAnsi"/>
        </w:rPr>
        <w:t xml:space="preserve"> for reference</w:t>
      </w:r>
      <w:r w:rsidR="0087012F">
        <w:rPr>
          <w:rFonts w:cstheme="minorHAnsi"/>
        </w:rPr>
        <w:t xml:space="preserve">, as they understand from the pre-requisites and the topics covered that students will be learning about new </w:t>
      </w:r>
      <w:r w:rsidR="00D703E3">
        <w:rPr>
          <w:rFonts w:cstheme="minorHAnsi"/>
        </w:rPr>
        <w:t>concepts</w:t>
      </w:r>
      <w:r w:rsidR="0087012F">
        <w:rPr>
          <w:rFonts w:cstheme="minorHAnsi"/>
        </w:rPr>
        <w:t xml:space="preserve"> and utilizing new information when working on their group projects.  </w:t>
      </w:r>
      <w:r w:rsidR="00D703E3">
        <w:rPr>
          <w:rFonts w:cstheme="minorHAnsi"/>
        </w:rPr>
        <w:t>The Panel expressed concern that the outside experts (and the materials that they provide) will be the only reference for students.</w:t>
      </w:r>
    </w:p>
    <w:p w14:paraId="30D80331" w14:textId="3D0F98CF" w:rsidR="00D703E3" w:rsidRDefault="00D703E3" w:rsidP="008C65F3">
      <w:pPr>
        <w:pStyle w:val="ListParagraph"/>
        <w:numPr>
          <w:ilvl w:val="1"/>
          <w:numId w:val="5"/>
        </w:numPr>
        <w:rPr>
          <w:rFonts w:cstheme="minorHAnsi"/>
        </w:rPr>
      </w:pPr>
      <w:r>
        <w:rPr>
          <w:rFonts w:cstheme="minorHAnsi"/>
        </w:rPr>
        <w:t xml:space="preserve">The Panel </w:t>
      </w:r>
      <w:r w:rsidR="00C4160E">
        <w:rPr>
          <w:rFonts w:cstheme="minorHAnsi"/>
        </w:rPr>
        <w:t>requests</w:t>
      </w:r>
      <w:r>
        <w:rPr>
          <w:rFonts w:cstheme="minorHAnsi"/>
        </w:rPr>
        <w:t xml:space="preserve"> that</w:t>
      </w:r>
      <w:r w:rsidR="00C4160E">
        <w:rPr>
          <w:rFonts w:cstheme="minorHAnsi"/>
        </w:rPr>
        <w:t xml:space="preserve"> the</w:t>
      </w:r>
      <w:r>
        <w:rPr>
          <w:rFonts w:cstheme="minorHAnsi"/>
        </w:rPr>
        <w:t xml:space="preserve"> department provide more information about the peer evaluations</w:t>
      </w:r>
      <w:r w:rsidR="002A7A6C">
        <w:rPr>
          <w:rFonts w:cstheme="minorHAnsi"/>
        </w:rPr>
        <w:t>.</w:t>
      </w:r>
      <w:r w:rsidR="00F9331C">
        <w:rPr>
          <w:rFonts w:cstheme="minorHAnsi"/>
        </w:rPr>
        <w:t xml:space="preserve"> </w:t>
      </w:r>
      <w:r w:rsidR="002A7A6C">
        <w:rPr>
          <w:rFonts w:cstheme="minorHAnsi"/>
        </w:rPr>
        <w:t xml:space="preserve"> </w:t>
      </w:r>
      <w:r>
        <w:rPr>
          <w:rFonts w:cstheme="minorHAnsi"/>
        </w:rPr>
        <w:t>Specifically, they ask that the following concerns be addressed:</w:t>
      </w:r>
    </w:p>
    <w:p w14:paraId="659F2399" w14:textId="588FD8C7" w:rsidR="00E11DDD" w:rsidRDefault="00D703E3" w:rsidP="00D703E3">
      <w:pPr>
        <w:pStyle w:val="ListParagraph"/>
        <w:numPr>
          <w:ilvl w:val="2"/>
          <w:numId w:val="5"/>
        </w:numPr>
        <w:rPr>
          <w:rFonts w:cstheme="minorHAnsi"/>
        </w:rPr>
      </w:pPr>
      <w:r>
        <w:rPr>
          <w:rFonts w:cstheme="minorHAnsi"/>
        </w:rPr>
        <w:t xml:space="preserve">The Panel would like </w:t>
      </w:r>
      <w:r w:rsidR="008208F6">
        <w:rPr>
          <w:rFonts w:cstheme="minorHAnsi"/>
        </w:rPr>
        <w:t xml:space="preserve">the department to provide </w:t>
      </w:r>
      <w:r>
        <w:rPr>
          <w:rFonts w:cstheme="minorHAnsi"/>
        </w:rPr>
        <w:t xml:space="preserve">more information about </w:t>
      </w:r>
      <w:r w:rsidR="00E11DDD">
        <w:rPr>
          <w:rFonts w:cstheme="minorHAnsi"/>
        </w:rPr>
        <w:t>how students will earn the 20% of their grade that is allotted to Peer Evaluations.  The Panel notes that most</w:t>
      </w:r>
      <w:r>
        <w:rPr>
          <w:rFonts w:cstheme="minorHAnsi"/>
        </w:rPr>
        <w:t xml:space="preserve"> courses that </w:t>
      </w:r>
      <w:r w:rsidR="00E11DDD">
        <w:rPr>
          <w:rFonts w:cstheme="minorHAnsi"/>
        </w:rPr>
        <w:t xml:space="preserve">make use of </w:t>
      </w:r>
      <w:r>
        <w:rPr>
          <w:rFonts w:cstheme="minorHAnsi"/>
        </w:rPr>
        <w:t>peer evaluation give credit to a student for completing thoughtful and constructive evaluation</w:t>
      </w:r>
      <w:r w:rsidR="00E11DDD">
        <w:rPr>
          <w:rFonts w:cstheme="minorHAnsi"/>
        </w:rPr>
        <w:t>s</w:t>
      </w:r>
      <w:r>
        <w:rPr>
          <w:rFonts w:cstheme="minorHAnsi"/>
        </w:rPr>
        <w:t xml:space="preserve"> of the work of the</w:t>
      </w:r>
      <w:r w:rsidR="00C60FA3">
        <w:rPr>
          <w:rFonts w:cstheme="minorHAnsi"/>
        </w:rPr>
        <w:t>ir</w:t>
      </w:r>
      <w:r>
        <w:rPr>
          <w:rFonts w:cstheme="minorHAnsi"/>
        </w:rPr>
        <w:t xml:space="preserve"> fellow students, rather than </w:t>
      </w:r>
      <w:r w:rsidR="00E11DDD">
        <w:rPr>
          <w:rFonts w:cstheme="minorHAnsi"/>
        </w:rPr>
        <w:t xml:space="preserve">allowing </w:t>
      </w:r>
      <w:r w:rsidR="00F9331C">
        <w:rPr>
          <w:rFonts w:cstheme="minorHAnsi"/>
        </w:rPr>
        <w:t xml:space="preserve">20% of </w:t>
      </w:r>
      <w:r w:rsidR="00E11DDD">
        <w:rPr>
          <w:rFonts w:cstheme="minorHAnsi"/>
        </w:rPr>
        <w:t>students</w:t>
      </w:r>
      <w:r w:rsidR="00F9331C">
        <w:rPr>
          <w:rFonts w:cstheme="minorHAnsi"/>
        </w:rPr>
        <w:t>’ grades to be</w:t>
      </w:r>
      <w:r w:rsidR="00E11DDD">
        <w:rPr>
          <w:rFonts w:cstheme="minorHAnsi"/>
        </w:rPr>
        <w:t xml:space="preserve"> determine</w:t>
      </w:r>
      <w:r w:rsidR="00F9331C">
        <w:rPr>
          <w:rFonts w:cstheme="minorHAnsi"/>
        </w:rPr>
        <w:t>d solely by their peers</w:t>
      </w:r>
      <w:r w:rsidR="00E11DDD">
        <w:rPr>
          <w:rFonts w:cstheme="minorHAnsi"/>
        </w:rPr>
        <w:t xml:space="preserve">.  The Panel is unsure of which approach is being used in this course, and, if </w:t>
      </w:r>
      <w:r w:rsidR="00C60FA3">
        <w:rPr>
          <w:rFonts w:cstheme="minorHAnsi"/>
        </w:rPr>
        <w:t xml:space="preserve">it is the </w:t>
      </w:r>
      <w:r w:rsidR="00E11DDD">
        <w:rPr>
          <w:rFonts w:cstheme="minorHAnsi"/>
        </w:rPr>
        <w:t>latter, they ask that the department provide information about how the instructor will monitor and, if needed, mitigate grades that they feel are not appropriate.</w:t>
      </w:r>
    </w:p>
    <w:p w14:paraId="2FD388D5" w14:textId="72510EE7" w:rsidR="00E11DDD" w:rsidRDefault="00E11DDD" w:rsidP="00D703E3">
      <w:pPr>
        <w:pStyle w:val="ListParagraph"/>
        <w:numPr>
          <w:ilvl w:val="2"/>
          <w:numId w:val="5"/>
        </w:numPr>
        <w:rPr>
          <w:rFonts w:cstheme="minorHAnsi"/>
        </w:rPr>
      </w:pPr>
      <w:r>
        <w:rPr>
          <w:rFonts w:cstheme="minorHAnsi"/>
        </w:rPr>
        <w:t xml:space="preserve">The Panel asks the department to provide some </w:t>
      </w:r>
      <w:r w:rsidR="008208F6">
        <w:rPr>
          <w:rFonts w:cstheme="minorHAnsi"/>
        </w:rPr>
        <w:t>information regarding the instruction and/or guidance that will be given to students about how to evaluate their peers.  Since the evaluation form does not provide students with a rubric or other method to encourage objectivity, they are concerned about subjectivity and personality conflicts influencing students’ grades.  The</w:t>
      </w:r>
      <w:r w:rsidR="00C60FA3">
        <w:rPr>
          <w:rFonts w:cstheme="minorHAnsi"/>
        </w:rPr>
        <w:t>y</w:t>
      </w:r>
      <w:r w:rsidR="008208F6">
        <w:rPr>
          <w:rFonts w:cstheme="minorHAnsi"/>
        </w:rPr>
        <w:t xml:space="preserve"> encourage the department to describe in more detail the scaffolding and framing that will support this assignment.</w:t>
      </w:r>
    </w:p>
    <w:p w14:paraId="4CF1B9CB" w14:textId="2C281C96" w:rsidR="004D6392" w:rsidRDefault="008208F6" w:rsidP="00D703E3">
      <w:pPr>
        <w:pStyle w:val="ListParagraph"/>
        <w:numPr>
          <w:ilvl w:val="2"/>
          <w:numId w:val="5"/>
        </w:numPr>
        <w:rPr>
          <w:rFonts w:cstheme="minorHAnsi"/>
        </w:rPr>
      </w:pPr>
      <w:r>
        <w:rPr>
          <w:rFonts w:cstheme="minorHAnsi"/>
        </w:rPr>
        <w:t xml:space="preserve">The Panel </w:t>
      </w:r>
      <w:r w:rsidR="00663631">
        <w:rPr>
          <w:rFonts w:cstheme="minorHAnsi"/>
        </w:rPr>
        <w:t xml:space="preserve">asks that the department clarify whether students will be evaluating one another on their group work, their individual projects, or both. </w:t>
      </w:r>
    </w:p>
    <w:p w14:paraId="795BD265" w14:textId="3EE98C6B" w:rsidR="004D6392" w:rsidRDefault="00663631" w:rsidP="008C65F3">
      <w:pPr>
        <w:pStyle w:val="ListParagraph"/>
        <w:numPr>
          <w:ilvl w:val="1"/>
          <w:numId w:val="5"/>
        </w:numPr>
        <w:rPr>
          <w:rFonts w:cstheme="minorHAnsi"/>
        </w:rPr>
      </w:pPr>
      <w:r>
        <w:rPr>
          <w:rFonts w:cstheme="minorHAnsi"/>
        </w:rPr>
        <w:t>The Panel asks that the department provide more information about</w:t>
      </w:r>
      <w:r w:rsidR="004D6392">
        <w:rPr>
          <w:rFonts w:cstheme="minorHAnsi"/>
        </w:rPr>
        <w:t xml:space="preserve"> the length of the presentations, both group and individual.</w:t>
      </w:r>
    </w:p>
    <w:p w14:paraId="41C1505C" w14:textId="0A90A348" w:rsidR="004D6392" w:rsidRDefault="00663631" w:rsidP="008C65F3">
      <w:pPr>
        <w:pStyle w:val="ListParagraph"/>
        <w:numPr>
          <w:ilvl w:val="1"/>
          <w:numId w:val="5"/>
        </w:numPr>
        <w:rPr>
          <w:rFonts w:cstheme="minorHAnsi"/>
        </w:rPr>
      </w:pPr>
      <w:r>
        <w:rPr>
          <w:rFonts w:cstheme="minorHAnsi"/>
        </w:rPr>
        <w:t>The Panel asks that the due dates and timelines for both the individual and group projects be included on the course calendar so that students can plan and organize their time effectively throughout the semester.</w:t>
      </w:r>
      <w:r w:rsidR="004D6392">
        <w:rPr>
          <w:rFonts w:cstheme="minorHAnsi"/>
        </w:rPr>
        <w:t xml:space="preserve"> </w:t>
      </w:r>
    </w:p>
    <w:p w14:paraId="69D4C9C2" w14:textId="6B1BB03E" w:rsidR="001449B9" w:rsidRPr="001449B9" w:rsidRDefault="001449B9" w:rsidP="001449B9">
      <w:pPr>
        <w:pStyle w:val="ListParagraph"/>
        <w:numPr>
          <w:ilvl w:val="1"/>
          <w:numId w:val="5"/>
        </w:numPr>
        <w:rPr>
          <w:rFonts w:cstheme="minorHAnsi"/>
        </w:rPr>
      </w:pPr>
      <w:r>
        <w:rPr>
          <w:rFonts w:ascii="Calibri" w:eastAsia="Times New Roman" w:hAnsi="Calibri" w:cs="Calibri"/>
        </w:rPr>
        <w:t>The Panel observes that this course seems to require significant computing knowledge as well as require specific equipment.  If this is the case, the Panel asks that the department include a statement in the syllabus about the necessary skills and equipment to be successful in the course.</w:t>
      </w:r>
    </w:p>
    <w:p w14:paraId="50768303" w14:textId="28E9F790" w:rsidR="006646E0" w:rsidRPr="00DD7E5E" w:rsidRDefault="00663631" w:rsidP="008C65F3">
      <w:pPr>
        <w:pStyle w:val="ListParagraph"/>
        <w:numPr>
          <w:ilvl w:val="1"/>
          <w:numId w:val="5"/>
        </w:numPr>
        <w:rPr>
          <w:rFonts w:cstheme="minorHAnsi"/>
        </w:rPr>
      </w:pPr>
      <w:r>
        <w:rPr>
          <w:rFonts w:cstheme="minorHAnsi"/>
        </w:rPr>
        <w:t>The Panel asks that the course objectives</w:t>
      </w:r>
      <w:r w:rsidR="00C4160E">
        <w:rPr>
          <w:rFonts w:cstheme="minorHAnsi"/>
        </w:rPr>
        <w:t xml:space="preserve"> (syllabus pg. 1)</w:t>
      </w:r>
      <w:r>
        <w:rPr>
          <w:rFonts w:cstheme="minorHAnsi"/>
        </w:rPr>
        <w:t xml:space="preserve"> be articulated more clearly</w:t>
      </w:r>
      <w:r w:rsidR="00C4160E">
        <w:rPr>
          <w:rFonts w:cstheme="minorHAnsi"/>
        </w:rPr>
        <w:t>, as the current text under this heading seems to be a course description.</w:t>
      </w:r>
    </w:p>
    <w:p w14:paraId="6F95E095" w14:textId="3FABFA28" w:rsidR="0032565B" w:rsidRPr="00663631" w:rsidRDefault="0032565B" w:rsidP="003A25BD">
      <w:pPr>
        <w:pStyle w:val="ListParagraph"/>
        <w:numPr>
          <w:ilvl w:val="1"/>
          <w:numId w:val="5"/>
        </w:numPr>
        <w:rPr>
          <w:rFonts w:cstheme="minorHAnsi"/>
        </w:rPr>
      </w:pPr>
      <w:r w:rsidRPr="00663631">
        <w:rPr>
          <w:rFonts w:cstheme="minorHAnsi"/>
        </w:rPr>
        <w:lastRenderedPageBreak/>
        <w:t>The Panel asks that the department include “Doctoral” as an Intended Rank</w:t>
      </w:r>
      <w:r w:rsidR="00E4358F">
        <w:rPr>
          <w:rFonts w:cstheme="minorHAnsi"/>
        </w:rPr>
        <w:t xml:space="preserve">. </w:t>
      </w:r>
      <w:r w:rsidR="00C60FA3">
        <w:rPr>
          <w:rFonts w:cstheme="minorHAnsi"/>
        </w:rPr>
        <w:t xml:space="preserve"> </w:t>
      </w:r>
      <w:r w:rsidR="00E4358F">
        <w:rPr>
          <w:rFonts w:cstheme="minorHAnsi"/>
        </w:rPr>
        <w:t xml:space="preserve">Indeed, even though the course is not primarily intended for doctoral students, they could still take the course and, therefore, the course should include “Doctoral” as Intended Rank. (Course Change Request </w:t>
      </w:r>
      <w:r w:rsidR="005340E3">
        <w:rPr>
          <w:rFonts w:cstheme="minorHAnsi"/>
        </w:rPr>
        <w:t>Form Pg. 1 under “Subject/CIP Code”).</w:t>
      </w:r>
    </w:p>
    <w:p w14:paraId="5517939B" w14:textId="08A783AE" w:rsidR="0032565B" w:rsidRPr="001449B9" w:rsidRDefault="0032565B" w:rsidP="003A25BD">
      <w:pPr>
        <w:pStyle w:val="ListParagraph"/>
        <w:numPr>
          <w:ilvl w:val="1"/>
          <w:numId w:val="5"/>
        </w:numPr>
        <w:rPr>
          <w:rFonts w:cstheme="minorHAnsi"/>
        </w:rPr>
      </w:pPr>
      <w:r w:rsidRPr="00663631">
        <w:t xml:space="preserve">The Panel </w:t>
      </w:r>
      <w:r w:rsidR="00C60FA3">
        <w:t>request</w:t>
      </w:r>
      <w:r w:rsidRPr="00663631">
        <w:t xml:space="preserve">s that the department clarify the pre-requisites for the course, as the Course Change Request Form (Pg. 1) says students must have </w:t>
      </w:r>
      <w:r w:rsidR="00C4160E">
        <w:t>“</w:t>
      </w:r>
      <w:r w:rsidRPr="00663631">
        <w:t xml:space="preserve">Math 2568, </w:t>
      </w:r>
      <w:r w:rsidR="00C4160E">
        <w:t xml:space="preserve">Math </w:t>
      </w:r>
      <w:r w:rsidRPr="00663631">
        <w:t xml:space="preserve">3618, and </w:t>
      </w:r>
      <w:r w:rsidR="00C4160E">
        <w:t xml:space="preserve">Math </w:t>
      </w:r>
      <w:r w:rsidRPr="00663631">
        <w:t xml:space="preserve">4530 </w:t>
      </w:r>
      <w:r w:rsidRPr="00C60FA3">
        <w:rPr>
          <w:b/>
          <w:bCs/>
          <w:i/>
          <w:iCs/>
        </w:rPr>
        <w:t>or</w:t>
      </w:r>
      <w:r w:rsidRPr="00663631">
        <w:t xml:space="preserve"> Stats 4201; or permission of department</w:t>
      </w:r>
      <w:r w:rsidR="00C4160E">
        <w:t>”</w:t>
      </w:r>
      <w:r w:rsidRPr="00663631">
        <w:t xml:space="preserve">, while the syllabus </w:t>
      </w:r>
      <w:r w:rsidR="00C60FA3">
        <w:t xml:space="preserve">(Pg. 1) </w:t>
      </w:r>
      <w:r w:rsidRPr="00663631">
        <w:t xml:space="preserve">says they must have </w:t>
      </w:r>
      <w:r w:rsidR="00663631" w:rsidRPr="00663631">
        <w:t xml:space="preserve">Math 2568, 3618, 4530 </w:t>
      </w:r>
      <w:r w:rsidR="00663631" w:rsidRPr="00C60FA3">
        <w:rPr>
          <w:b/>
          <w:bCs/>
          <w:i/>
          <w:iCs/>
        </w:rPr>
        <w:t>and</w:t>
      </w:r>
      <w:r w:rsidR="00663631" w:rsidRPr="00663631">
        <w:t xml:space="preserve"> Stats 4201</w:t>
      </w:r>
      <w:r w:rsidRPr="00663631">
        <w:t>.</w:t>
      </w:r>
      <w:r w:rsidR="006646E0" w:rsidRPr="00663631">
        <w:t xml:space="preserve"> </w:t>
      </w:r>
      <w:r w:rsidR="00663631" w:rsidRPr="00663631">
        <w:t>They note that the topic and level of the class indicate that the department may have meant to include Stats 4202 as a requirement on the syllabus rather than 4201, but in any event ask that the Course Change Request Form and</w:t>
      </w:r>
      <w:r w:rsidR="00C60FA3">
        <w:t>/or</w:t>
      </w:r>
      <w:r w:rsidR="00663631" w:rsidRPr="00663631">
        <w:t xml:space="preserve"> the syllabus </w:t>
      </w:r>
      <w:r w:rsidR="00C60FA3">
        <w:t>be altered to reflect</w:t>
      </w:r>
      <w:r w:rsidR="00663631" w:rsidRPr="00663631">
        <w:t xml:space="preserve"> the same pre-requisite requirements.</w:t>
      </w:r>
    </w:p>
    <w:p w14:paraId="1D7366C1" w14:textId="79D8F414" w:rsidR="001449B9" w:rsidRPr="001449B9" w:rsidRDefault="001449B9" w:rsidP="001449B9">
      <w:pPr>
        <w:pStyle w:val="ListParagraph"/>
        <w:numPr>
          <w:ilvl w:val="1"/>
          <w:numId w:val="5"/>
        </w:numPr>
        <w:rPr>
          <w:rFonts w:cstheme="minorHAnsi"/>
        </w:rPr>
      </w:pPr>
      <w:r w:rsidRPr="00F9331C">
        <w:rPr>
          <w:rFonts w:ascii="Calibri" w:eastAsia="Times New Roman" w:hAnsi="Calibri" w:cs="Calibri"/>
        </w:rPr>
        <w:t xml:space="preserve">The Panel recommends that the department clarify the language surrounding time expectations for students inside and outside of class.  They recommend utilizing the boilerplate language found on the </w:t>
      </w:r>
      <w:hyperlink r:id="rId9" w:history="1">
        <w:r w:rsidRPr="00F9331C">
          <w:rPr>
            <w:rStyle w:val="Hyperlink"/>
            <w:rFonts w:ascii="Calibri" w:eastAsia="Times New Roman" w:hAnsi="Calibri" w:cs="Calibri"/>
          </w:rPr>
          <w:t>ASC Distance Learning Template</w:t>
        </w:r>
      </w:hyperlink>
      <w:r w:rsidRPr="00F9331C">
        <w:rPr>
          <w:rFonts w:ascii="Calibri" w:eastAsia="Times New Roman" w:hAnsi="Calibri" w:cs="Calibri"/>
        </w:rPr>
        <w:t>, “</w:t>
      </w:r>
      <w:r w:rsidRPr="00F9331C">
        <w:rPr>
          <w:i/>
          <w:iCs/>
        </w:rPr>
        <w:t xml:space="preserve">This is a </w:t>
      </w:r>
      <w:r w:rsidRPr="00F9331C">
        <w:rPr>
          <w:b/>
          <w:bCs/>
          <w:i/>
          <w:iCs/>
        </w:rPr>
        <w:t>3-credit-hour course</w:t>
      </w:r>
      <w:r w:rsidRPr="00F9331C">
        <w:rPr>
          <w:i/>
          <w:iCs/>
        </w:rPr>
        <w:t xml:space="preserve">. According to Ohio State policy </w:t>
      </w:r>
      <w:r w:rsidRPr="00F9331C">
        <w:rPr>
          <w:rStyle w:val="Hyperlink"/>
          <w:i/>
          <w:iCs/>
        </w:rPr>
        <w:t>(</w:t>
      </w:r>
      <w:hyperlink r:id="rId10" w:history="1">
        <w:r w:rsidRPr="00F9331C">
          <w:rPr>
            <w:rStyle w:val="Hyperlink"/>
            <w:i/>
            <w:iCs/>
          </w:rPr>
          <w:t>go.osu.edu/credithours</w:t>
        </w:r>
      </w:hyperlink>
      <w:r w:rsidRPr="00F9331C">
        <w:rPr>
          <w:rStyle w:val="Hyperlink"/>
          <w:i/>
          <w:iCs/>
        </w:rPr>
        <w:t>)</w:t>
      </w:r>
      <w:r w:rsidRPr="00F9331C">
        <w:rPr>
          <w:i/>
          <w:iCs/>
        </w:rPr>
        <w:t xml:space="preserve">, students should expect around 3 hours per week of time spent on direct instruction (instructor content and Carmen activities, for example) in addition to 6 hours of homework (reading and assignment </w:t>
      </w:r>
      <w:r w:rsidRPr="00F9331C">
        <w:rPr>
          <w:rFonts w:eastAsia="Arial" w:cs="Arial"/>
          <w:i/>
          <w:iCs/>
        </w:rPr>
        <w:t>preparation, for example) to receive a grade of (C) average” or similar.</w:t>
      </w:r>
    </w:p>
    <w:p w14:paraId="1BD90C20" w14:textId="328CA8C5" w:rsidR="00C60FA3" w:rsidRPr="00C60FA3" w:rsidRDefault="00591F76" w:rsidP="00C60FA3">
      <w:pPr>
        <w:pStyle w:val="ListParagraph"/>
        <w:numPr>
          <w:ilvl w:val="1"/>
          <w:numId w:val="5"/>
        </w:numPr>
        <w:rPr>
          <w:rFonts w:cstheme="minorHAnsi"/>
        </w:rPr>
      </w:pPr>
      <w:r w:rsidRPr="006646E0">
        <w:t xml:space="preserve">The Panel </w:t>
      </w:r>
      <w:r w:rsidR="00C60FA3">
        <w:t>recommends</w:t>
      </w:r>
      <w:r w:rsidRPr="006646E0">
        <w:t xml:space="preserve"> that the department clarify the grading scale, as it does not currently include “+” and “-“ grades, such as an A- or a B+ (syllabus pg. 3 under “Grade”).  While the instructor is welcome to give only letter grades should they choose to do so, if this is the case, the Panel asks that the instructor state this intention on the syllabus.</w:t>
      </w:r>
    </w:p>
    <w:p w14:paraId="45E78ED4" w14:textId="70EC03C8" w:rsidR="00F9331C" w:rsidRPr="00F9331C" w:rsidRDefault="00591F76" w:rsidP="00F9331C">
      <w:pPr>
        <w:pStyle w:val="ListParagraph"/>
        <w:numPr>
          <w:ilvl w:val="1"/>
          <w:numId w:val="5"/>
        </w:numPr>
        <w:rPr>
          <w:rFonts w:cstheme="minorHAnsi"/>
        </w:rPr>
      </w:pPr>
      <w:r w:rsidRPr="00C60FA3">
        <w:rPr>
          <w:rFonts w:ascii="Calibri" w:eastAsia="Times New Roman" w:hAnsi="Calibri" w:cs="Calibri"/>
        </w:rPr>
        <w:t xml:space="preserve">The Panel recommends that the department replace the </w:t>
      </w:r>
      <w:r w:rsidR="00C4160E">
        <w:rPr>
          <w:rFonts w:ascii="Calibri" w:eastAsia="Times New Roman" w:hAnsi="Calibri" w:cs="Calibri"/>
        </w:rPr>
        <w:t>Disability</w:t>
      </w:r>
      <w:r w:rsidRPr="00C60FA3">
        <w:rPr>
          <w:rFonts w:ascii="Calibri" w:eastAsia="Times New Roman" w:hAnsi="Calibri" w:cs="Calibri"/>
        </w:rPr>
        <w:t xml:space="preserve"> Services statement on pg. 4 of the syllabus with the most up-to-date version, which can be found here:</w:t>
      </w:r>
      <w:r w:rsidRPr="006646E0">
        <w:t xml:space="preserve"> </w:t>
      </w:r>
      <w:hyperlink r:id="rId11" w:history="1">
        <w:r w:rsidRPr="00C60FA3">
          <w:rPr>
            <w:rStyle w:val="Hyperlink"/>
            <w:rFonts w:ascii="Calibri" w:eastAsia="Times New Roman" w:hAnsi="Calibri" w:cs="Calibri"/>
            <w:color w:val="auto"/>
          </w:rPr>
          <w:t>https://asccas.osu.edu/curriculum/syllabus-elements</w:t>
        </w:r>
      </w:hyperlink>
      <w:r w:rsidRPr="00C60FA3">
        <w:rPr>
          <w:rFonts w:ascii="Calibri" w:eastAsia="Times New Roman" w:hAnsi="Calibri" w:cs="Calibri"/>
        </w:rPr>
        <w:t xml:space="preserve">. </w:t>
      </w:r>
    </w:p>
    <w:p w14:paraId="7B788C3D" w14:textId="77777777" w:rsidR="001449B9" w:rsidRPr="00F9331C" w:rsidRDefault="001449B9" w:rsidP="001449B9">
      <w:pPr>
        <w:pStyle w:val="ListParagraph"/>
        <w:numPr>
          <w:ilvl w:val="1"/>
          <w:numId w:val="5"/>
        </w:numPr>
        <w:rPr>
          <w:rFonts w:cstheme="minorHAnsi"/>
        </w:rPr>
      </w:pPr>
      <w:r>
        <w:rPr>
          <w:rFonts w:eastAsia="Arial" w:cs="Arial"/>
        </w:rPr>
        <w:t>Comment: T</w:t>
      </w:r>
      <w:r w:rsidRPr="00F9331C">
        <w:rPr>
          <w:rFonts w:ascii="Calibri" w:eastAsia="Times New Roman" w:hAnsi="Calibri" w:cs="Calibri"/>
        </w:rPr>
        <w:t xml:space="preserve">he Panel </w:t>
      </w:r>
      <w:r>
        <w:rPr>
          <w:rFonts w:ascii="Calibri" w:eastAsia="Times New Roman" w:hAnsi="Calibri" w:cs="Calibri"/>
        </w:rPr>
        <w:t>encourages the</w:t>
      </w:r>
      <w:r w:rsidRPr="00F9331C">
        <w:rPr>
          <w:rFonts w:ascii="Calibri" w:eastAsia="Times New Roman" w:hAnsi="Calibri" w:cs="Calibri"/>
        </w:rPr>
        <w:t xml:space="preserve"> department </w:t>
      </w:r>
      <w:r>
        <w:rPr>
          <w:rFonts w:ascii="Calibri" w:eastAsia="Times New Roman" w:hAnsi="Calibri" w:cs="Calibri"/>
        </w:rPr>
        <w:t xml:space="preserve">to </w:t>
      </w:r>
      <w:r w:rsidRPr="00F9331C">
        <w:rPr>
          <w:rFonts w:ascii="Calibri" w:eastAsia="Times New Roman" w:hAnsi="Calibri" w:cs="Calibri"/>
        </w:rPr>
        <w:t>consider the inclusion of a pre-requisite of “or graduate standing” so that graduate students will be able to enroll in the course without the assistance of an advisor</w:t>
      </w:r>
      <w:r>
        <w:rPr>
          <w:rFonts w:ascii="Calibri" w:eastAsia="Times New Roman" w:hAnsi="Calibri" w:cs="Calibri"/>
        </w:rPr>
        <w:t xml:space="preserve">. </w:t>
      </w:r>
      <w:r w:rsidRPr="00F9331C">
        <w:rPr>
          <w:rFonts w:ascii="Calibri" w:eastAsia="Times New Roman" w:hAnsi="Calibri" w:cs="Calibri"/>
        </w:rPr>
        <w:t xml:space="preserve"> </w:t>
      </w:r>
      <w:r>
        <w:rPr>
          <w:rFonts w:ascii="Calibri" w:eastAsia="Times New Roman" w:hAnsi="Calibri" w:cs="Calibri"/>
        </w:rPr>
        <w:t xml:space="preserve">Since </w:t>
      </w:r>
      <w:r w:rsidRPr="00F9331C">
        <w:rPr>
          <w:rFonts w:ascii="Calibri" w:eastAsia="Times New Roman" w:hAnsi="Calibri" w:cs="Calibri"/>
        </w:rPr>
        <w:t xml:space="preserve">graduate students’ records </w:t>
      </w:r>
      <w:r>
        <w:rPr>
          <w:rFonts w:ascii="Calibri" w:eastAsia="Times New Roman" w:hAnsi="Calibri" w:cs="Calibri"/>
        </w:rPr>
        <w:t>are unlikely to display</w:t>
      </w:r>
      <w:r w:rsidRPr="00F9331C">
        <w:rPr>
          <w:rFonts w:ascii="Calibri" w:eastAsia="Times New Roman" w:hAnsi="Calibri" w:cs="Calibri"/>
        </w:rPr>
        <w:t xml:space="preserve"> OSU course numbers for pre-requisite coursework</w:t>
      </w:r>
      <w:r>
        <w:rPr>
          <w:rFonts w:ascii="Calibri" w:eastAsia="Times New Roman" w:hAnsi="Calibri" w:cs="Calibri"/>
        </w:rPr>
        <w:t>, the current listing will require them to seek assistance to enroll.</w:t>
      </w:r>
    </w:p>
    <w:p w14:paraId="55D2DB8C" w14:textId="0482ACCA" w:rsidR="009E5301" w:rsidRPr="00F9331C" w:rsidRDefault="009E5301" w:rsidP="00F9331C">
      <w:pPr>
        <w:pStyle w:val="ListParagraph"/>
        <w:numPr>
          <w:ilvl w:val="1"/>
          <w:numId w:val="5"/>
        </w:numPr>
        <w:rPr>
          <w:rFonts w:cstheme="minorHAnsi"/>
        </w:rPr>
      </w:pPr>
      <w:r w:rsidRPr="00F9331C">
        <w:rPr>
          <w:rFonts w:ascii="Calibri" w:eastAsia="Times New Roman" w:hAnsi="Calibri" w:cs="Calibri"/>
        </w:rPr>
        <w:t>No Vote</w:t>
      </w:r>
    </w:p>
    <w:p w14:paraId="242B7995" w14:textId="77777777" w:rsidR="00F9331C" w:rsidRPr="00F9331C" w:rsidRDefault="00F9331C" w:rsidP="00F9331C">
      <w:pPr>
        <w:pStyle w:val="ListParagraph"/>
        <w:ind w:left="1440"/>
        <w:rPr>
          <w:rFonts w:cstheme="minorHAnsi"/>
        </w:rPr>
      </w:pPr>
    </w:p>
    <w:p w14:paraId="18084D63" w14:textId="0CC68FE9" w:rsidR="00D72400" w:rsidRDefault="00D72400" w:rsidP="00D72400">
      <w:pPr>
        <w:pStyle w:val="ListParagraph"/>
        <w:numPr>
          <w:ilvl w:val="0"/>
          <w:numId w:val="5"/>
        </w:numPr>
        <w:rPr>
          <w:rFonts w:cstheme="minorHAnsi"/>
        </w:rPr>
      </w:pPr>
      <w:r w:rsidRPr="00DD7E5E">
        <w:rPr>
          <w:rFonts w:cstheme="minorHAnsi"/>
        </w:rPr>
        <w:t>Mathematics 5637 (new course) (return)</w:t>
      </w:r>
    </w:p>
    <w:p w14:paraId="2171EFE4" w14:textId="2EE28C70" w:rsidR="009D3ADC" w:rsidRDefault="003A4EAE" w:rsidP="009D3ADC">
      <w:pPr>
        <w:pStyle w:val="ListParagraph"/>
        <w:numPr>
          <w:ilvl w:val="1"/>
          <w:numId w:val="5"/>
        </w:numPr>
        <w:rPr>
          <w:rFonts w:cstheme="minorHAnsi"/>
        </w:rPr>
      </w:pPr>
      <w:r w:rsidRPr="009D3ADC">
        <w:rPr>
          <w:rFonts w:cstheme="minorHAnsi"/>
          <w:i/>
          <w:iCs/>
        </w:rPr>
        <w:t>Recommendation</w:t>
      </w:r>
      <w:r>
        <w:rPr>
          <w:rFonts w:cstheme="minorHAnsi"/>
        </w:rPr>
        <w:t>:  The Panel recommends that the department clarify for students what the primary learning materials will</w:t>
      </w:r>
      <w:r w:rsidR="000518B3">
        <w:rPr>
          <w:rFonts w:cstheme="minorHAnsi"/>
        </w:rPr>
        <w:t xml:space="preserve"> be</w:t>
      </w:r>
      <w:r>
        <w:rPr>
          <w:rFonts w:cstheme="minorHAnsi"/>
        </w:rPr>
        <w:t xml:space="preserve">.  While they can see </w:t>
      </w:r>
      <w:r w:rsidR="000518B3">
        <w:rPr>
          <w:rFonts w:cstheme="minorHAnsi"/>
        </w:rPr>
        <w:t xml:space="preserve">that the class notes will be distributed and that there are three recommended textbooks, they ask if </w:t>
      </w:r>
      <w:r w:rsidR="009D3ADC">
        <w:rPr>
          <w:rFonts w:cstheme="minorHAnsi"/>
        </w:rPr>
        <w:t xml:space="preserve">there might be one or two sources that </w:t>
      </w:r>
      <w:r w:rsidR="001449B9">
        <w:rPr>
          <w:rFonts w:cstheme="minorHAnsi"/>
        </w:rPr>
        <w:t xml:space="preserve">could be singled out as </w:t>
      </w:r>
      <w:r w:rsidR="009D3ADC">
        <w:rPr>
          <w:rFonts w:cstheme="minorHAnsi"/>
        </w:rPr>
        <w:t>most helpful for students.</w:t>
      </w:r>
      <w:r w:rsidR="000518B3">
        <w:rPr>
          <w:rFonts w:cstheme="minorHAnsi"/>
        </w:rPr>
        <w:t xml:space="preserve"> </w:t>
      </w:r>
    </w:p>
    <w:p w14:paraId="78550868" w14:textId="438B1411" w:rsidR="00D97BA2" w:rsidRDefault="009D3ADC" w:rsidP="00D97BA2">
      <w:pPr>
        <w:pStyle w:val="ListParagraph"/>
        <w:numPr>
          <w:ilvl w:val="1"/>
          <w:numId w:val="5"/>
        </w:numPr>
        <w:rPr>
          <w:rFonts w:cstheme="minorHAnsi"/>
        </w:rPr>
      </w:pPr>
      <w:r>
        <w:rPr>
          <w:rFonts w:cstheme="minorHAnsi"/>
          <w:i/>
          <w:iCs/>
        </w:rPr>
        <w:t>Recommendation</w:t>
      </w:r>
      <w:r w:rsidRPr="009D3ADC">
        <w:rPr>
          <w:rFonts w:cstheme="minorHAnsi"/>
        </w:rPr>
        <w:t>:</w:t>
      </w:r>
      <w:r>
        <w:rPr>
          <w:rFonts w:cstheme="minorHAnsi"/>
        </w:rPr>
        <w:t xml:space="preserve"> The Panel recommends that the department provide a more detailed description of the homework assignments.  They recommend that this include information such as the anticipated frequency of assignments, whether the homework will be done alone or in groups</w:t>
      </w:r>
      <w:r w:rsidR="00D97BA2">
        <w:rPr>
          <w:rFonts w:cstheme="minorHAnsi"/>
        </w:rPr>
        <w:t>,</w:t>
      </w:r>
      <w:r>
        <w:rPr>
          <w:rFonts w:cstheme="minorHAnsi"/>
        </w:rPr>
        <w:t xml:space="preserve"> and how and where homework will be submitted.  They </w:t>
      </w:r>
      <w:r>
        <w:rPr>
          <w:rFonts w:cstheme="minorHAnsi"/>
        </w:rPr>
        <w:lastRenderedPageBreak/>
        <w:t xml:space="preserve">note that </w:t>
      </w:r>
      <w:r w:rsidR="00D97BA2">
        <w:rPr>
          <w:rFonts w:cstheme="minorHAnsi"/>
        </w:rPr>
        <w:t>this information was a part of the prior submission, but since the topics of the course have been altered and re-organized, it is no longer a part of the syllabus.</w:t>
      </w:r>
    </w:p>
    <w:p w14:paraId="3D49352A" w14:textId="46B063EA" w:rsidR="00084F92" w:rsidRDefault="00D97BA2" w:rsidP="00084F92">
      <w:pPr>
        <w:pStyle w:val="ListParagraph"/>
        <w:numPr>
          <w:ilvl w:val="1"/>
          <w:numId w:val="5"/>
        </w:numPr>
        <w:rPr>
          <w:rFonts w:cstheme="minorHAnsi"/>
        </w:rPr>
      </w:pPr>
      <w:r>
        <w:rPr>
          <w:rFonts w:cstheme="minorHAnsi"/>
          <w:i/>
          <w:iCs/>
        </w:rPr>
        <w:t>Recommendation</w:t>
      </w:r>
      <w:r w:rsidRPr="00D97BA2">
        <w:rPr>
          <w:rFonts w:cstheme="minorHAnsi"/>
        </w:rPr>
        <w:t>:</w:t>
      </w:r>
      <w:r>
        <w:rPr>
          <w:rFonts w:cstheme="minorHAnsi"/>
        </w:rPr>
        <w:t xml:space="preserve">  The Panel recommends that the </w:t>
      </w:r>
      <w:r w:rsidR="000D6D46">
        <w:rPr>
          <w:rFonts w:cstheme="minorHAnsi"/>
        </w:rPr>
        <w:t>department provide a more detailed description of the exams.  They recommend that this include information such as the dates of the exams (as they are not currently on the class schedule)</w:t>
      </w:r>
      <w:r w:rsidR="00E4358F">
        <w:rPr>
          <w:rFonts w:cstheme="minorHAnsi"/>
        </w:rPr>
        <w:t>,</w:t>
      </w:r>
      <w:r w:rsidR="000D6D46">
        <w:rPr>
          <w:rFonts w:cstheme="minorHAnsi"/>
        </w:rPr>
        <w:t xml:space="preserve"> as well as times/locations</w:t>
      </w:r>
      <w:r w:rsidR="00084F92">
        <w:rPr>
          <w:rFonts w:cstheme="minorHAnsi"/>
        </w:rPr>
        <w:t xml:space="preserve">, and </w:t>
      </w:r>
      <w:r w:rsidR="000D6D46">
        <w:rPr>
          <w:rFonts w:cstheme="minorHAnsi"/>
        </w:rPr>
        <w:t xml:space="preserve">whether they are </w:t>
      </w:r>
      <w:r w:rsidR="00084F92">
        <w:rPr>
          <w:rFonts w:cstheme="minorHAnsi"/>
        </w:rPr>
        <w:t>online or in-person exams.</w:t>
      </w:r>
      <w:r w:rsidR="00013336" w:rsidRPr="00D97BA2">
        <w:rPr>
          <w:rFonts w:cstheme="minorHAnsi"/>
        </w:rPr>
        <w:t xml:space="preserve"> </w:t>
      </w:r>
    </w:p>
    <w:p w14:paraId="6D89026D" w14:textId="57E1C6E8" w:rsidR="00084F92" w:rsidRDefault="00084F92" w:rsidP="00084F92">
      <w:pPr>
        <w:pStyle w:val="ListParagraph"/>
        <w:numPr>
          <w:ilvl w:val="1"/>
          <w:numId w:val="5"/>
        </w:numPr>
        <w:rPr>
          <w:rFonts w:cstheme="minorHAnsi"/>
        </w:rPr>
      </w:pPr>
      <w:r>
        <w:rPr>
          <w:rFonts w:cstheme="minorHAnsi"/>
          <w:i/>
          <w:iCs/>
        </w:rPr>
        <w:t>Recommendation</w:t>
      </w:r>
      <w:r>
        <w:rPr>
          <w:rFonts w:cstheme="minorHAnsi"/>
        </w:rPr>
        <w:t>: While the Panel understands that this course is devoted to the stud</w:t>
      </w:r>
      <w:r w:rsidR="001449B9">
        <w:rPr>
          <w:rFonts w:cstheme="minorHAnsi"/>
        </w:rPr>
        <w:t>y</w:t>
      </w:r>
      <w:r>
        <w:rPr>
          <w:rFonts w:cstheme="minorHAnsi"/>
        </w:rPr>
        <w:t xml:space="preserve"> of the underlying mathematical concepts behind statistical learning, they ask that the panel include a statement on the syllabus about needed computing skills and/or equipment, should such skills or equipment be needed for success in the course.</w:t>
      </w:r>
    </w:p>
    <w:p w14:paraId="769F7049" w14:textId="0D8697D6" w:rsidR="00013336" w:rsidRPr="00084F92" w:rsidRDefault="00084F92" w:rsidP="00084F92">
      <w:pPr>
        <w:pStyle w:val="ListParagraph"/>
        <w:numPr>
          <w:ilvl w:val="1"/>
          <w:numId w:val="5"/>
        </w:numPr>
        <w:rPr>
          <w:rFonts w:cstheme="minorHAnsi"/>
        </w:rPr>
      </w:pPr>
      <w:r>
        <w:rPr>
          <w:rFonts w:cstheme="minorHAnsi"/>
          <w:i/>
          <w:iCs/>
        </w:rPr>
        <w:t>Recommendation</w:t>
      </w:r>
      <w:r w:rsidRPr="00084F92">
        <w:rPr>
          <w:rFonts w:cstheme="minorHAnsi"/>
        </w:rPr>
        <w:t>:</w:t>
      </w:r>
      <w:r>
        <w:rPr>
          <w:rFonts w:cstheme="minorHAnsi"/>
        </w:rPr>
        <w:t xml:space="preserve"> </w:t>
      </w:r>
      <w:r w:rsidR="00483B3A">
        <w:rPr>
          <w:rFonts w:cstheme="minorHAnsi"/>
        </w:rPr>
        <w:t xml:space="preserve">The Panel recommends that the department provide more information to students about how they are expected to spend their time outside of  class, including how </w:t>
      </w:r>
      <w:r w:rsidR="001449B9">
        <w:rPr>
          <w:rFonts w:cstheme="minorHAnsi"/>
        </w:rPr>
        <w:t>much of their time</w:t>
      </w:r>
      <w:r w:rsidR="00483B3A">
        <w:rPr>
          <w:rFonts w:cstheme="minorHAnsi"/>
        </w:rPr>
        <w:t xml:space="preserve"> </w:t>
      </w:r>
      <w:r w:rsidR="001449B9">
        <w:rPr>
          <w:rFonts w:cstheme="minorHAnsi"/>
        </w:rPr>
        <w:t>is intended to be</w:t>
      </w:r>
      <w:r w:rsidR="00483B3A">
        <w:rPr>
          <w:rFonts w:cstheme="minorHAnsi"/>
        </w:rPr>
        <w:t xml:space="preserve"> devoted to homework, readings, other study or preparation, etc. so that students can better </w:t>
      </w:r>
      <w:r w:rsidR="001449B9">
        <w:rPr>
          <w:rFonts w:cstheme="minorHAnsi"/>
        </w:rPr>
        <w:t>manage</w:t>
      </w:r>
      <w:r w:rsidR="00483B3A">
        <w:rPr>
          <w:rFonts w:cstheme="minorHAnsi"/>
        </w:rPr>
        <w:t xml:space="preserve"> their time over the course of the semester.</w:t>
      </w:r>
    </w:p>
    <w:p w14:paraId="30A68EB0" w14:textId="77777777" w:rsidR="00483B3A" w:rsidRPr="00483B3A" w:rsidRDefault="00C01E5A" w:rsidP="00483B3A">
      <w:pPr>
        <w:pStyle w:val="ListParagraph"/>
        <w:numPr>
          <w:ilvl w:val="1"/>
          <w:numId w:val="5"/>
        </w:numPr>
        <w:rPr>
          <w:rFonts w:cstheme="minorHAnsi"/>
        </w:rPr>
      </w:pPr>
      <w:r w:rsidRPr="00084F92">
        <w:rPr>
          <w:i/>
          <w:iCs/>
        </w:rPr>
        <w:t>Recommendation</w:t>
      </w:r>
      <w:r w:rsidRPr="00C01E5A">
        <w:t xml:space="preserve">: </w:t>
      </w:r>
      <w:r w:rsidR="00042B0F" w:rsidRPr="00C01E5A">
        <w:t xml:space="preserve">The Panel </w:t>
      </w:r>
      <w:r w:rsidR="00483B3A">
        <w:t>recommends</w:t>
      </w:r>
      <w:r w:rsidR="00042B0F" w:rsidRPr="00C01E5A">
        <w:t xml:space="preserve"> that the department clarify the grading scale, as it does not currently include “+” and “-“ grades, such as A- or a B+ (syllabus pg. </w:t>
      </w:r>
      <w:r w:rsidR="00483B3A">
        <w:t xml:space="preserve">2 </w:t>
      </w:r>
      <w:r w:rsidR="00042B0F" w:rsidRPr="00C01E5A">
        <w:t xml:space="preserve">under “Grade”).  While the instructor is welcome to give only letter grades should they choose to do so, if this is the case, the Panel </w:t>
      </w:r>
      <w:r w:rsidR="00483B3A">
        <w:t>recommends</w:t>
      </w:r>
      <w:r w:rsidR="00042B0F" w:rsidRPr="00C01E5A">
        <w:t xml:space="preserve"> that the instructor state this intention on the syllabus.</w:t>
      </w:r>
    </w:p>
    <w:p w14:paraId="2131B27D" w14:textId="7F169CFA" w:rsidR="00042B0F" w:rsidRPr="00483B3A" w:rsidRDefault="00042B0F" w:rsidP="00483B3A">
      <w:pPr>
        <w:pStyle w:val="ListParagraph"/>
        <w:numPr>
          <w:ilvl w:val="1"/>
          <w:numId w:val="5"/>
        </w:numPr>
        <w:rPr>
          <w:rFonts w:cstheme="minorHAnsi"/>
        </w:rPr>
      </w:pPr>
      <w:r w:rsidRPr="00483B3A">
        <w:rPr>
          <w:rFonts w:ascii="Calibri" w:eastAsia="Times New Roman" w:hAnsi="Calibri" w:cs="Calibri"/>
          <w:i/>
          <w:iCs/>
        </w:rPr>
        <w:t>Recommendation</w:t>
      </w:r>
      <w:r w:rsidRPr="00483B3A">
        <w:rPr>
          <w:rFonts w:ascii="Calibri" w:eastAsia="Times New Roman" w:hAnsi="Calibri" w:cs="Calibri"/>
        </w:rPr>
        <w:t xml:space="preserve">: The Panel recommends that the department replace the </w:t>
      </w:r>
      <w:r w:rsidR="00C4160E">
        <w:rPr>
          <w:rFonts w:ascii="Calibri" w:eastAsia="Times New Roman" w:hAnsi="Calibri" w:cs="Calibri"/>
        </w:rPr>
        <w:t>Disability</w:t>
      </w:r>
      <w:r w:rsidRPr="00483B3A">
        <w:rPr>
          <w:rFonts w:ascii="Calibri" w:eastAsia="Times New Roman" w:hAnsi="Calibri" w:cs="Calibri"/>
        </w:rPr>
        <w:t xml:space="preserve"> Services statement on pg. 4 of the syllabus with the most up-to-date version, which can be found here:</w:t>
      </w:r>
      <w:r w:rsidRPr="00C01E5A">
        <w:t xml:space="preserve"> </w:t>
      </w:r>
      <w:hyperlink r:id="rId12" w:history="1">
        <w:r w:rsidRPr="00483B3A">
          <w:rPr>
            <w:rStyle w:val="Hyperlink"/>
            <w:rFonts w:ascii="Calibri" w:eastAsia="Times New Roman" w:hAnsi="Calibri" w:cs="Calibri"/>
            <w:color w:val="auto"/>
          </w:rPr>
          <w:t>https://asccas.osu.edu/curriculum/syllabus-elements</w:t>
        </w:r>
      </w:hyperlink>
      <w:r w:rsidRPr="00483B3A">
        <w:rPr>
          <w:rFonts w:ascii="Calibri" w:eastAsia="Times New Roman" w:hAnsi="Calibri" w:cs="Calibri"/>
        </w:rPr>
        <w:t xml:space="preserve">. </w:t>
      </w:r>
    </w:p>
    <w:p w14:paraId="26C78B47" w14:textId="645E3A8B" w:rsidR="00084F92" w:rsidRPr="00F9331C" w:rsidRDefault="00084F92" w:rsidP="00084F92">
      <w:pPr>
        <w:pStyle w:val="ListParagraph"/>
        <w:numPr>
          <w:ilvl w:val="1"/>
          <w:numId w:val="5"/>
        </w:numPr>
        <w:rPr>
          <w:rFonts w:cstheme="minorHAnsi"/>
        </w:rPr>
      </w:pPr>
      <w:r>
        <w:rPr>
          <w:rFonts w:eastAsia="Arial" w:cs="Arial"/>
        </w:rPr>
        <w:t>Comment: T</w:t>
      </w:r>
      <w:r w:rsidRPr="00F9331C">
        <w:rPr>
          <w:rFonts w:ascii="Calibri" w:eastAsia="Times New Roman" w:hAnsi="Calibri" w:cs="Calibri"/>
        </w:rPr>
        <w:t xml:space="preserve">he Panel </w:t>
      </w:r>
      <w:r>
        <w:rPr>
          <w:rFonts w:ascii="Calibri" w:eastAsia="Times New Roman" w:hAnsi="Calibri" w:cs="Calibri"/>
        </w:rPr>
        <w:t>encourages the</w:t>
      </w:r>
      <w:r w:rsidRPr="00F9331C">
        <w:rPr>
          <w:rFonts w:ascii="Calibri" w:eastAsia="Times New Roman" w:hAnsi="Calibri" w:cs="Calibri"/>
        </w:rPr>
        <w:t xml:space="preserve"> department </w:t>
      </w:r>
      <w:r>
        <w:rPr>
          <w:rFonts w:ascii="Calibri" w:eastAsia="Times New Roman" w:hAnsi="Calibri" w:cs="Calibri"/>
        </w:rPr>
        <w:t xml:space="preserve">to </w:t>
      </w:r>
      <w:r w:rsidRPr="00F9331C">
        <w:rPr>
          <w:rFonts w:ascii="Calibri" w:eastAsia="Times New Roman" w:hAnsi="Calibri" w:cs="Calibri"/>
        </w:rPr>
        <w:t>consider the inclusion of a pre-requisite of “or graduate standing” so that graduate students will be able to enroll in the course without the assistance of an advisor</w:t>
      </w:r>
      <w:r w:rsidR="001449B9">
        <w:rPr>
          <w:rFonts w:ascii="Calibri" w:eastAsia="Times New Roman" w:hAnsi="Calibri" w:cs="Calibri"/>
        </w:rPr>
        <w:t xml:space="preserve">. </w:t>
      </w:r>
      <w:r w:rsidRPr="00F9331C">
        <w:rPr>
          <w:rFonts w:ascii="Calibri" w:eastAsia="Times New Roman" w:hAnsi="Calibri" w:cs="Calibri"/>
        </w:rPr>
        <w:t xml:space="preserve"> </w:t>
      </w:r>
      <w:r w:rsidR="001449B9">
        <w:rPr>
          <w:rFonts w:ascii="Calibri" w:eastAsia="Times New Roman" w:hAnsi="Calibri" w:cs="Calibri"/>
        </w:rPr>
        <w:t xml:space="preserve">Since </w:t>
      </w:r>
      <w:r w:rsidRPr="00F9331C">
        <w:rPr>
          <w:rFonts w:ascii="Calibri" w:eastAsia="Times New Roman" w:hAnsi="Calibri" w:cs="Calibri"/>
        </w:rPr>
        <w:t xml:space="preserve">graduate students’ records </w:t>
      </w:r>
      <w:r w:rsidR="001449B9">
        <w:rPr>
          <w:rFonts w:ascii="Calibri" w:eastAsia="Times New Roman" w:hAnsi="Calibri" w:cs="Calibri"/>
        </w:rPr>
        <w:t>are unlikely to display</w:t>
      </w:r>
      <w:r w:rsidRPr="00F9331C">
        <w:rPr>
          <w:rFonts w:ascii="Calibri" w:eastAsia="Times New Roman" w:hAnsi="Calibri" w:cs="Calibri"/>
        </w:rPr>
        <w:t xml:space="preserve"> OSU course numbers for pre-requisite coursework</w:t>
      </w:r>
      <w:r>
        <w:rPr>
          <w:rFonts w:ascii="Calibri" w:eastAsia="Times New Roman" w:hAnsi="Calibri" w:cs="Calibri"/>
        </w:rPr>
        <w:t>, the current listing will require them to seek assistance to enroll.</w:t>
      </w:r>
    </w:p>
    <w:p w14:paraId="0E200DAC" w14:textId="68878148" w:rsidR="00C01E5A" w:rsidRPr="00C01E5A" w:rsidRDefault="00C01E5A" w:rsidP="00C01E5A">
      <w:pPr>
        <w:numPr>
          <w:ilvl w:val="1"/>
          <w:numId w:val="5"/>
        </w:numPr>
        <w:spacing w:after="0" w:line="240" w:lineRule="auto"/>
        <w:rPr>
          <w:rFonts w:ascii="Calibri" w:eastAsia="Times New Roman" w:hAnsi="Calibri" w:cs="Calibri"/>
        </w:rPr>
      </w:pPr>
      <w:r>
        <w:rPr>
          <w:rFonts w:ascii="Calibri" w:eastAsia="Times New Roman" w:hAnsi="Calibri" w:cs="Calibri"/>
        </w:rPr>
        <w:t xml:space="preserve">Cole, Hamilton; unanimously approved with </w:t>
      </w:r>
      <w:r w:rsidR="002615AA">
        <w:rPr>
          <w:rFonts w:ascii="Calibri" w:eastAsia="Times New Roman" w:hAnsi="Calibri" w:cs="Calibri"/>
          <w:i/>
          <w:iCs/>
        </w:rPr>
        <w:t>seven</w:t>
      </w:r>
      <w:r w:rsidR="001449B9">
        <w:rPr>
          <w:rFonts w:ascii="Calibri" w:eastAsia="Times New Roman" w:hAnsi="Calibri" w:cs="Calibri"/>
          <w:i/>
          <w:iCs/>
        </w:rPr>
        <w:t xml:space="preserve"> recommendations</w:t>
      </w:r>
      <w:r w:rsidR="001449B9">
        <w:rPr>
          <w:rFonts w:ascii="Calibri" w:eastAsia="Times New Roman" w:hAnsi="Calibri" w:cs="Calibri"/>
        </w:rPr>
        <w:t xml:space="preserve"> (in italics above,) and </w:t>
      </w:r>
      <w:r w:rsidR="002615AA">
        <w:rPr>
          <w:rFonts w:ascii="Calibri" w:eastAsia="Times New Roman" w:hAnsi="Calibri" w:cs="Calibri"/>
        </w:rPr>
        <w:t>one</w:t>
      </w:r>
      <w:r w:rsidR="001449B9">
        <w:rPr>
          <w:rFonts w:ascii="Calibri" w:eastAsia="Times New Roman" w:hAnsi="Calibri" w:cs="Calibri"/>
        </w:rPr>
        <w:t xml:space="preserve"> comment.</w:t>
      </w:r>
    </w:p>
    <w:sectPr w:rsidR="00C01E5A" w:rsidRPr="00C0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42"/>
    <w:multiLevelType w:val="multilevel"/>
    <w:tmpl w:val="A4C82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145EB1"/>
    <w:multiLevelType w:val="multilevel"/>
    <w:tmpl w:val="EA1CD3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F2DB3"/>
    <w:multiLevelType w:val="multilevel"/>
    <w:tmpl w:val="A4C82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096ED0"/>
    <w:multiLevelType w:val="multilevel"/>
    <w:tmpl w:val="E84E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D4535"/>
    <w:multiLevelType w:val="multilevel"/>
    <w:tmpl w:val="7EB2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F1EFD"/>
    <w:multiLevelType w:val="hybridMultilevel"/>
    <w:tmpl w:val="09B0E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500040">
    <w:abstractNumId w:val="4"/>
  </w:num>
  <w:num w:numId="2" w16cid:durableId="1045373846">
    <w:abstractNumId w:val="0"/>
  </w:num>
  <w:num w:numId="3" w16cid:durableId="1301184248">
    <w:abstractNumId w:val="1"/>
  </w:num>
  <w:num w:numId="4" w16cid:durableId="74554118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894675">
    <w:abstractNumId w:val="6"/>
  </w:num>
  <w:num w:numId="6" w16cid:durableId="45371440">
    <w:abstractNumId w:val="3"/>
  </w:num>
  <w:num w:numId="7" w16cid:durableId="27749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23"/>
    <w:rsid w:val="00013336"/>
    <w:rsid w:val="00032B13"/>
    <w:rsid w:val="0003374C"/>
    <w:rsid w:val="00042B0F"/>
    <w:rsid w:val="000518B3"/>
    <w:rsid w:val="00075F2C"/>
    <w:rsid w:val="00080D21"/>
    <w:rsid w:val="00084F92"/>
    <w:rsid w:val="00086655"/>
    <w:rsid w:val="000874D4"/>
    <w:rsid w:val="000A34ED"/>
    <w:rsid w:val="000D6D46"/>
    <w:rsid w:val="000F74A0"/>
    <w:rsid w:val="00142C53"/>
    <w:rsid w:val="001449B9"/>
    <w:rsid w:val="00172A10"/>
    <w:rsid w:val="001D0D79"/>
    <w:rsid w:val="001F2A40"/>
    <w:rsid w:val="001F7E92"/>
    <w:rsid w:val="00226F56"/>
    <w:rsid w:val="002615AA"/>
    <w:rsid w:val="0028399B"/>
    <w:rsid w:val="002A7A6C"/>
    <w:rsid w:val="00306AF8"/>
    <w:rsid w:val="0032565B"/>
    <w:rsid w:val="00330DDB"/>
    <w:rsid w:val="00384C6B"/>
    <w:rsid w:val="00386D22"/>
    <w:rsid w:val="0039286D"/>
    <w:rsid w:val="003935F0"/>
    <w:rsid w:val="003A25BD"/>
    <w:rsid w:val="003A4006"/>
    <w:rsid w:val="003A4EAE"/>
    <w:rsid w:val="003A7DC3"/>
    <w:rsid w:val="003D569C"/>
    <w:rsid w:val="003E1393"/>
    <w:rsid w:val="0046778E"/>
    <w:rsid w:val="00483B3A"/>
    <w:rsid w:val="004A757B"/>
    <w:rsid w:val="004B1DE0"/>
    <w:rsid w:val="004D6392"/>
    <w:rsid w:val="004F3553"/>
    <w:rsid w:val="004F7E8B"/>
    <w:rsid w:val="00511767"/>
    <w:rsid w:val="00525609"/>
    <w:rsid w:val="005340E3"/>
    <w:rsid w:val="0055189E"/>
    <w:rsid w:val="005907CB"/>
    <w:rsid w:val="00591F76"/>
    <w:rsid w:val="005A16F6"/>
    <w:rsid w:val="005B3156"/>
    <w:rsid w:val="005C7863"/>
    <w:rsid w:val="00604CD3"/>
    <w:rsid w:val="00640EFE"/>
    <w:rsid w:val="00654133"/>
    <w:rsid w:val="00663631"/>
    <w:rsid w:val="006646E0"/>
    <w:rsid w:val="0066555C"/>
    <w:rsid w:val="006B2A8F"/>
    <w:rsid w:val="006C7D13"/>
    <w:rsid w:val="006D70AC"/>
    <w:rsid w:val="006E3099"/>
    <w:rsid w:val="006F7E0A"/>
    <w:rsid w:val="007109B3"/>
    <w:rsid w:val="00710CCB"/>
    <w:rsid w:val="0072271B"/>
    <w:rsid w:val="0074738B"/>
    <w:rsid w:val="00785F69"/>
    <w:rsid w:val="007D5E86"/>
    <w:rsid w:val="007F3260"/>
    <w:rsid w:val="008027CD"/>
    <w:rsid w:val="00814CA7"/>
    <w:rsid w:val="00817A4B"/>
    <w:rsid w:val="008208F6"/>
    <w:rsid w:val="00822AD0"/>
    <w:rsid w:val="008352E9"/>
    <w:rsid w:val="00841D9E"/>
    <w:rsid w:val="00843EF4"/>
    <w:rsid w:val="00852668"/>
    <w:rsid w:val="008670E9"/>
    <w:rsid w:val="0087012F"/>
    <w:rsid w:val="008831C6"/>
    <w:rsid w:val="008A591C"/>
    <w:rsid w:val="008C65F3"/>
    <w:rsid w:val="008D60CB"/>
    <w:rsid w:val="008E323D"/>
    <w:rsid w:val="00900864"/>
    <w:rsid w:val="009105CD"/>
    <w:rsid w:val="009127C9"/>
    <w:rsid w:val="0093315D"/>
    <w:rsid w:val="00970157"/>
    <w:rsid w:val="00972C30"/>
    <w:rsid w:val="009963E3"/>
    <w:rsid w:val="00997843"/>
    <w:rsid w:val="009B60E4"/>
    <w:rsid w:val="009D3ADC"/>
    <w:rsid w:val="009E5301"/>
    <w:rsid w:val="009F4CA1"/>
    <w:rsid w:val="00A06346"/>
    <w:rsid w:val="00A139E8"/>
    <w:rsid w:val="00A30046"/>
    <w:rsid w:val="00A3502F"/>
    <w:rsid w:val="00A94060"/>
    <w:rsid w:val="00A95898"/>
    <w:rsid w:val="00AA1BDA"/>
    <w:rsid w:val="00AA5E83"/>
    <w:rsid w:val="00AB0069"/>
    <w:rsid w:val="00AF13A0"/>
    <w:rsid w:val="00B33DD4"/>
    <w:rsid w:val="00B46548"/>
    <w:rsid w:val="00B85878"/>
    <w:rsid w:val="00B961DE"/>
    <w:rsid w:val="00BD3186"/>
    <w:rsid w:val="00BE0661"/>
    <w:rsid w:val="00BF0EAB"/>
    <w:rsid w:val="00C01E5A"/>
    <w:rsid w:val="00C21AE4"/>
    <w:rsid w:val="00C37869"/>
    <w:rsid w:val="00C4160E"/>
    <w:rsid w:val="00C60FA3"/>
    <w:rsid w:val="00C70D23"/>
    <w:rsid w:val="00CB09C9"/>
    <w:rsid w:val="00CB2D2F"/>
    <w:rsid w:val="00CD2318"/>
    <w:rsid w:val="00D14320"/>
    <w:rsid w:val="00D14763"/>
    <w:rsid w:val="00D27D76"/>
    <w:rsid w:val="00D471AC"/>
    <w:rsid w:val="00D703E3"/>
    <w:rsid w:val="00D70848"/>
    <w:rsid w:val="00D72400"/>
    <w:rsid w:val="00D97BA2"/>
    <w:rsid w:val="00DD73FE"/>
    <w:rsid w:val="00DD7E5E"/>
    <w:rsid w:val="00DE5E6F"/>
    <w:rsid w:val="00DF2654"/>
    <w:rsid w:val="00E02928"/>
    <w:rsid w:val="00E05C6A"/>
    <w:rsid w:val="00E11DDD"/>
    <w:rsid w:val="00E4358F"/>
    <w:rsid w:val="00EA6DF2"/>
    <w:rsid w:val="00EC60BE"/>
    <w:rsid w:val="00EE5973"/>
    <w:rsid w:val="00EE6FB2"/>
    <w:rsid w:val="00F15084"/>
    <w:rsid w:val="00F23261"/>
    <w:rsid w:val="00F74DD1"/>
    <w:rsid w:val="00F9331C"/>
    <w:rsid w:val="00FC16AC"/>
    <w:rsid w:val="00FC1EAC"/>
    <w:rsid w:val="00FC35D6"/>
    <w:rsid w:val="00FD3693"/>
    <w:rsid w:val="00FE5BB2"/>
    <w:rsid w:val="00FF4EDB"/>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505F"/>
  <w15:chartTrackingRefBased/>
  <w15:docId w15:val="{237D1D0F-BF7D-49B8-A8C1-0AB1FEB3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FE"/>
    <w:pPr>
      <w:ind w:left="720"/>
      <w:contextualSpacing/>
    </w:pPr>
  </w:style>
  <w:style w:type="character" w:styleId="Hyperlink">
    <w:name w:val="Hyperlink"/>
    <w:basedOn w:val="DefaultParagraphFont"/>
    <w:uiPriority w:val="99"/>
    <w:unhideWhenUsed/>
    <w:rsid w:val="003A7DC3"/>
    <w:rPr>
      <w:color w:val="0563C1"/>
      <w:u w:val="single"/>
    </w:rPr>
  </w:style>
  <w:style w:type="character" w:styleId="UnresolvedMention">
    <w:name w:val="Unresolved Mention"/>
    <w:basedOn w:val="DefaultParagraphFont"/>
    <w:uiPriority w:val="99"/>
    <w:semiHidden/>
    <w:unhideWhenUsed/>
    <w:rsid w:val="00A0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21">
      <w:bodyDiv w:val="1"/>
      <w:marLeft w:val="0"/>
      <w:marRight w:val="0"/>
      <w:marTop w:val="0"/>
      <w:marBottom w:val="0"/>
      <w:divBdr>
        <w:top w:val="none" w:sz="0" w:space="0" w:color="auto"/>
        <w:left w:val="none" w:sz="0" w:space="0" w:color="auto"/>
        <w:bottom w:val="none" w:sz="0" w:space="0" w:color="auto"/>
        <w:right w:val="none" w:sz="0" w:space="0" w:color="auto"/>
      </w:divBdr>
    </w:div>
    <w:div w:id="351616777">
      <w:bodyDiv w:val="1"/>
      <w:marLeft w:val="0"/>
      <w:marRight w:val="0"/>
      <w:marTop w:val="0"/>
      <w:marBottom w:val="0"/>
      <w:divBdr>
        <w:top w:val="none" w:sz="0" w:space="0" w:color="auto"/>
        <w:left w:val="none" w:sz="0" w:space="0" w:color="auto"/>
        <w:bottom w:val="none" w:sz="0" w:space="0" w:color="auto"/>
        <w:right w:val="none" w:sz="0" w:space="0" w:color="auto"/>
      </w:divBdr>
    </w:div>
    <w:div w:id="464272133">
      <w:bodyDiv w:val="1"/>
      <w:marLeft w:val="0"/>
      <w:marRight w:val="0"/>
      <w:marTop w:val="0"/>
      <w:marBottom w:val="0"/>
      <w:divBdr>
        <w:top w:val="none" w:sz="0" w:space="0" w:color="auto"/>
        <w:left w:val="none" w:sz="0" w:space="0" w:color="auto"/>
        <w:bottom w:val="none" w:sz="0" w:space="0" w:color="auto"/>
        <w:right w:val="none" w:sz="0" w:space="0" w:color="auto"/>
      </w:divBdr>
    </w:div>
    <w:div w:id="591359302">
      <w:bodyDiv w:val="1"/>
      <w:marLeft w:val="0"/>
      <w:marRight w:val="0"/>
      <w:marTop w:val="0"/>
      <w:marBottom w:val="0"/>
      <w:divBdr>
        <w:top w:val="none" w:sz="0" w:space="0" w:color="auto"/>
        <w:left w:val="none" w:sz="0" w:space="0" w:color="auto"/>
        <w:bottom w:val="none" w:sz="0" w:space="0" w:color="auto"/>
        <w:right w:val="none" w:sz="0" w:space="0" w:color="auto"/>
      </w:divBdr>
    </w:div>
    <w:div w:id="867717052">
      <w:bodyDiv w:val="1"/>
      <w:marLeft w:val="0"/>
      <w:marRight w:val="0"/>
      <w:marTop w:val="0"/>
      <w:marBottom w:val="0"/>
      <w:divBdr>
        <w:top w:val="none" w:sz="0" w:space="0" w:color="auto"/>
        <w:left w:val="none" w:sz="0" w:space="0" w:color="auto"/>
        <w:bottom w:val="none" w:sz="0" w:space="0" w:color="auto"/>
        <w:right w:val="none" w:sz="0" w:space="0" w:color="auto"/>
      </w:divBdr>
    </w:div>
    <w:div w:id="1180467033">
      <w:bodyDiv w:val="1"/>
      <w:marLeft w:val="0"/>
      <w:marRight w:val="0"/>
      <w:marTop w:val="0"/>
      <w:marBottom w:val="0"/>
      <w:divBdr>
        <w:top w:val="none" w:sz="0" w:space="0" w:color="auto"/>
        <w:left w:val="none" w:sz="0" w:space="0" w:color="auto"/>
        <w:bottom w:val="none" w:sz="0" w:space="0" w:color="auto"/>
        <w:right w:val="none" w:sz="0" w:space="0" w:color="auto"/>
      </w:divBdr>
    </w:div>
    <w:div w:id="1570965886">
      <w:bodyDiv w:val="1"/>
      <w:marLeft w:val="0"/>
      <w:marRight w:val="0"/>
      <w:marTop w:val="0"/>
      <w:marBottom w:val="0"/>
      <w:divBdr>
        <w:top w:val="none" w:sz="0" w:space="0" w:color="auto"/>
        <w:left w:val="none" w:sz="0" w:space="0" w:color="auto"/>
        <w:bottom w:val="none" w:sz="0" w:space="0" w:color="auto"/>
        <w:right w:val="none" w:sz="0" w:space="0" w:color="auto"/>
      </w:divBdr>
    </w:div>
    <w:div w:id="1698654325">
      <w:bodyDiv w:val="1"/>
      <w:marLeft w:val="0"/>
      <w:marRight w:val="0"/>
      <w:marTop w:val="0"/>
      <w:marBottom w:val="0"/>
      <w:divBdr>
        <w:top w:val="none" w:sz="0" w:space="0" w:color="auto"/>
        <w:left w:val="none" w:sz="0" w:space="0" w:color="auto"/>
        <w:bottom w:val="none" w:sz="0" w:space="0" w:color="auto"/>
        <w:right w:val="none" w:sz="0" w:space="0" w:color="auto"/>
      </w:divBdr>
    </w:div>
    <w:div w:id="1737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hyperlink" Target="http://go.osu.edu/credithours" TargetMode="External"/><Relationship Id="rId4" Type="http://schemas.openxmlformats.org/officeDocument/2006/relationships/webSettings" Target="webSettings.xml"/><Relationship Id="rId9" Type="http://schemas.openxmlformats.org/officeDocument/2006/relationships/hyperlink" Target="https://asccas.osu.edu/sites/default/files/2021-10/asc-distance-approval-cover-sheet-fillable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2022-11-22T14:35:00Z</dcterms:created>
  <dcterms:modified xsi:type="dcterms:W3CDTF">2022-11-22T14:35:00Z</dcterms:modified>
</cp:coreProperties>
</file>